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F11722">
      <w:pPr>
        <w:rPr>
          <w:rFonts w:hint="eastAsia" w:eastAsia="方正姚体"/>
          <w:b/>
          <w:bCs/>
          <w:spacing w:val="100"/>
          <w:sz w:val="44"/>
          <w:szCs w:val="44"/>
        </w:rPr>
      </w:pPr>
      <w:r>
        <w:rPr>
          <w:rFonts w:hint="eastAsia" w:ascii="宋体" w:hAnsi="宋体"/>
          <w:sz w:val="20"/>
        </w:rPr>
        <mc:AlternateContent>
          <mc:Choice Requires="wps">
            <w:drawing>
              <wp:anchor distT="0" distB="0" distL="114300" distR="114300" simplePos="0" relativeHeight="251659264" behindDoc="0" locked="0" layoutInCell="1" allowOverlap="1">
                <wp:simplePos x="0" y="0"/>
                <wp:positionH relativeFrom="column">
                  <wp:posOffset>-228600</wp:posOffset>
                </wp:positionH>
                <wp:positionV relativeFrom="paragraph">
                  <wp:posOffset>-134620</wp:posOffset>
                </wp:positionV>
                <wp:extent cx="5840730" cy="9036050"/>
                <wp:effectExtent l="0" t="0" r="0" b="0"/>
                <wp:wrapNone/>
                <wp:docPr id="4" name="文本框 4"/>
                <wp:cNvGraphicFramePr/>
                <a:graphic xmlns:a="http://schemas.openxmlformats.org/drawingml/2006/main">
                  <a:graphicData uri="http://schemas.microsoft.com/office/word/2010/wordprocessingShape">
                    <wps:wsp>
                      <wps:cNvSpPr txBox="1"/>
                      <wps:spPr>
                        <a:xfrm>
                          <a:off x="0" y="0"/>
                          <a:ext cx="5840730" cy="9036050"/>
                        </a:xfrm>
                        <a:prstGeom prst="rect">
                          <a:avLst/>
                        </a:prstGeom>
                        <a:noFill/>
                        <a:ln w="9525" cap="flat" cmpd="sng">
                          <a:noFill/>
                          <a:prstDash val="solid"/>
                          <a:miter/>
                          <a:headEnd type="none" w="med" len="med"/>
                          <a:tailEnd type="none" w="med" len="med"/>
                        </a:ln>
                        <a:effectLst/>
                      </wps:spPr>
                      <wps:txbx>
                        <w:txbxContent>
                          <w:p w14:paraId="688E5D49">
                            <w:pPr>
                              <w:rPr>
                                <w:rFonts w:ascii="Times New Roman" w:hAnsi="Times New Roman"/>
                              </w:rPr>
                            </w:pPr>
                          </w:p>
                          <w:p w14:paraId="676F38C3">
                            <w:pPr>
                              <w:rPr>
                                <w:rFonts w:ascii="Times New Roman" w:hAnsi="Times New Roman"/>
                                <w:b/>
                                <w:bCs/>
                                <w:sz w:val="36"/>
                              </w:rPr>
                            </w:pPr>
                          </w:p>
                          <w:p w14:paraId="60C0D30B">
                            <w:pPr>
                              <w:jc w:val="center"/>
                              <w:rPr>
                                <w:rFonts w:ascii="Times New Roman" w:hAnsi="Times New Roman"/>
                                <w:sz w:val="28"/>
                              </w:rPr>
                            </w:pPr>
                          </w:p>
                          <w:p w14:paraId="789FDC7A">
                            <w:pPr>
                              <w:jc w:val="center"/>
                              <w:rPr>
                                <w:rFonts w:ascii="黑体" w:hAnsi="黑体" w:eastAsia="黑体" w:cs="黑体"/>
                                <w:sz w:val="52"/>
                                <w:szCs w:val="52"/>
                              </w:rPr>
                            </w:pPr>
                            <w:r>
                              <w:rPr>
                                <w:rFonts w:hint="eastAsia" w:ascii="黑体" w:hAnsi="黑体" w:eastAsia="黑体" w:cs="黑体"/>
                                <w:sz w:val="52"/>
                                <w:szCs w:val="52"/>
                                <w:lang w:val="en-US" w:eastAsia="zh-CN"/>
                              </w:rPr>
                              <w:t xml:space="preserve">   </w:t>
                            </w:r>
                            <w:r>
                              <w:rPr>
                                <w:rFonts w:hint="eastAsia" w:ascii="黑体" w:hAnsi="黑体" w:eastAsia="黑体" w:cs="黑体"/>
                                <w:sz w:val="52"/>
                                <w:szCs w:val="52"/>
                              </w:rPr>
                              <w:t>工程造价咨询报告书</w:t>
                            </w:r>
                          </w:p>
                          <w:p w14:paraId="5FEBA54C">
                            <w:pPr>
                              <w:rPr>
                                <w:rFonts w:ascii="Times New Roman" w:hAnsi="Times New Roman"/>
                                <w:sz w:val="28"/>
                              </w:rPr>
                            </w:pPr>
                          </w:p>
                          <w:p w14:paraId="4524199B">
                            <w:pPr>
                              <w:pStyle w:val="13"/>
                              <w:ind w:firstLine="560"/>
                              <w:rPr>
                                <w:rFonts w:hAnsi="Times New Roman"/>
                              </w:rPr>
                            </w:pPr>
                          </w:p>
                          <w:p w14:paraId="0E3401C7">
                            <w:pPr>
                              <w:pStyle w:val="13"/>
                              <w:ind w:firstLine="560"/>
                              <w:rPr>
                                <w:rFonts w:hAnsi="Times New Roman"/>
                              </w:rPr>
                            </w:pPr>
                          </w:p>
                          <w:p w14:paraId="068AF9C5">
                            <w:pPr>
                              <w:jc w:val="center"/>
                              <w:rPr>
                                <w:rFonts w:ascii="Times New Roman" w:hAnsi="Times New Roman"/>
                                <w:sz w:val="28"/>
                              </w:rPr>
                            </w:pPr>
                          </w:p>
                          <w:p w14:paraId="7933D3F4">
                            <w:pPr>
                              <w:spacing w:line="560" w:lineRule="exact"/>
                              <w:ind w:left="3123" w:leftChars="684" w:hanging="1687" w:hangingChars="700"/>
                              <w:rPr>
                                <w:rFonts w:hint="eastAsia" w:ascii="黑体" w:hAnsi="黑体" w:eastAsia="黑体" w:cs="黑体"/>
                                <w:b/>
                                <w:bCs/>
                                <w:sz w:val="24"/>
                              </w:rPr>
                            </w:pPr>
                          </w:p>
                          <w:p w14:paraId="54516A6F">
                            <w:pPr>
                              <w:spacing w:line="560" w:lineRule="exact"/>
                              <w:ind w:left="3123" w:leftChars="684" w:hanging="1687" w:hangingChars="700"/>
                              <w:rPr>
                                <w:rFonts w:hint="default" w:ascii="黑体" w:hAnsi="黑体" w:eastAsia="黑体" w:cs="黑体"/>
                                <w:b/>
                                <w:bCs/>
                                <w:sz w:val="24"/>
                                <w:u w:val="single"/>
                                <w:lang w:val="en-US" w:eastAsia="zh-CN"/>
                              </w:rPr>
                            </w:pPr>
                            <w:r>
                              <w:rPr>
                                <w:rFonts w:hint="eastAsia" w:ascii="黑体" w:hAnsi="黑体" w:eastAsia="黑体" w:cs="黑体"/>
                                <w:b/>
                                <w:bCs/>
                                <w:sz w:val="24"/>
                              </w:rPr>
                              <w:t>咨询项目全称</w:t>
                            </w:r>
                            <w:r>
                              <w:rPr>
                                <w:rFonts w:hint="eastAsia" w:ascii="黑体" w:hAnsi="黑体" w:eastAsia="黑体" w:cs="黑体"/>
                                <w:b/>
                                <w:bCs/>
                                <w:sz w:val="24"/>
                                <w:u w:val="single"/>
                              </w:rPr>
                              <w:t xml:space="preserve"> </w:t>
                            </w:r>
                            <w:r>
                              <w:rPr>
                                <w:rFonts w:hint="eastAsia" w:ascii="黑体" w:hAnsi="黑体" w:eastAsia="黑体" w:cs="黑体"/>
                                <w:b/>
                                <w:bCs/>
                                <w:sz w:val="24"/>
                                <w:u w:val="single"/>
                                <w:lang w:val="en-US" w:eastAsia="zh-CN"/>
                              </w:rPr>
                              <w:t xml:space="preserve"> 临海市古城小学篮球场、卫生间及校门改造工程     </w:t>
                            </w:r>
                          </w:p>
                          <w:p w14:paraId="717ECC24">
                            <w:pPr>
                              <w:spacing w:line="560" w:lineRule="exact"/>
                              <w:ind w:firstLine="1446" w:firstLineChars="600"/>
                              <w:rPr>
                                <w:rFonts w:hint="default" w:ascii="黑体" w:hAnsi="黑体" w:eastAsia="黑体" w:cs="黑体"/>
                                <w:b/>
                                <w:bCs/>
                                <w:sz w:val="24"/>
                                <w:lang w:val="en-US"/>
                              </w:rPr>
                            </w:pPr>
                            <w:r>
                              <w:rPr>
                                <w:rFonts w:hint="eastAsia" w:ascii="黑体" w:hAnsi="黑体" w:eastAsia="黑体" w:cs="黑体"/>
                                <w:b/>
                                <w:bCs/>
                                <w:sz w:val="24"/>
                              </w:rPr>
                              <w:t>咨询业务类别</w:t>
                            </w:r>
                            <w:r>
                              <w:rPr>
                                <w:rFonts w:hint="eastAsia" w:ascii="黑体" w:hAnsi="黑体" w:eastAsia="黑体" w:cs="黑体"/>
                                <w:b/>
                                <w:bCs/>
                                <w:sz w:val="24"/>
                                <w:u w:val="single"/>
                                <w:lang w:val="en-US" w:eastAsia="zh-CN"/>
                              </w:rPr>
                              <w:t xml:space="preserve">                   预算编制</w:t>
                            </w:r>
                            <w:r>
                              <w:rPr>
                                <w:rFonts w:hint="eastAsia" w:ascii="黑体" w:hAnsi="黑体" w:eastAsia="黑体" w:cs="黑体"/>
                                <w:b/>
                                <w:bCs/>
                                <w:sz w:val="24"/>
                                <w:u w:val="single"/>
                              </w:rPr>
                              <w:t xml:space="preserve">           </w:t>
                            </w:r>
                            <w:r>
                              <w:rPr>
                                <w:rFonts w:ascii="黑体" w:hAnsi="黑体" w:eastAsia="黑体" w:cs="黑体"/>
                                <w:b/>
                                <w:bCs/>
                                <w:sz w:val="24"/>
                                <w:u w:val="single"/>
                              </w:rPr>
                              <w:t xml:space="preserve"> </w:t>
                            </w:r>
                            <w:r>
                              <w:rPr>
                                <w:rFonts w:hint="eastAsia" w:ascii="黑体" w:hAnsi="黑体" w:eastAsia="黑体" w:cs="黑体"/>
                                <w:b/>
                                <w:bCs/>
                                <w:sz w:val="24"/>
                                <w:u w:val="single"/>
                              </w:rPr>
                              <w:t xml:space="preserve"> </w:t>
                            </w:r>
                            <w:r>
                              <w:rPr>
                                <w:rFonts w:hint="eastAsia" w:ascii="黑体" w:hAnsi="黑体" w:eastAsia="黑体" w:cs="黑体"/>
                                <w:b/>
                                <w:bCs/>
                                <w:sz w:val="24"/>
                                <w:u w:val="single"/>
                                <w:lang w:val="en-US" w:eastAsia="zh-CN"/>
                              </w:rPr>
                              <w:t xml:space="preserve">       </w:t>
                            </w:r>
                            <w:r>
                              <w:rPr>
                                <w:rFonts w:hint="eastAsia" w:ascii="黑体" w:hAnsi="黑体" w:eastAsia="黑体" w:cs="黑体"/>
                                <w:b/>
                                <w:bCs/>
                                <w:sz w:val="24"/>
                                <w:u w:val="single"/>
                              </w:rPr>
                              <w:t xml:space="preserve">  </w:t>
                            </w:r>
                            <w:r>
                              <w:rPr>
                                <w:rFonts w:hint="eastAsia" w:ascii="黑体" w:hAnsi="黑体" w:eastAsia="黑体" w:cs="黑体"/>
                                <w:b/>
                                <w:bCs/>
                                <w:sz w:val="24"/>
                                <w:u w:val="single"/>
                                <w:lang w:val="en-US" w:eastAsia="zh-CN"/>
                              </w:rPr>
                              <w:t xml:space="preserve"> </w:t>
                            </w:r>
                          </w:p>
                          <w:p w14:paraId="0B4A71BC">
                            <w:pPr>
                              <w:spacing w:line="560" w:lineRule="exact"/>
                              <w:ind w:firstLine="1446" w:firstLineChars="600"/>
                              <w:rPr>
                                <w:rFonts w:hint="default" w:ascii="仿宋_GB2312" w:hAnsi="仿宋_GB2312" w:eastAsia="仿宋_GB2312" w:cs="仿宋_GB2312"/>
                                <w:sz w:val="32"/>
                                <w:szCs w:val="32"/>
                                <w:lang w:val="en-US"/>
                              </w:rPr>
                            </w:pPr>
                            <w:r>
                              <w:rPr>
                                <w:rFonts w:hint="eastAsia" w:ascii="黑体" w:hAnsi="黑体" w:eastAsia="黑体" w:cs="黑体"/>
                                <w:b/>
                                <w:bCs/>
                                <w:sz w:val="24"/>
                              </w:rPr>
                              <w:t>咨询报告日期</w:t>
                            </w:r>
                            <w:r>
                              <w:rPr>
                                <w:rFonts w:hint="eastAsia" w:ascii="黑体" w:hAnsi="黑体" w:eastAsia="黑体" w:cs="黑体"/>
                                <w:b/>
                                <w:bCs/>
                                <w:sz w:val="24"/>
                                <w:u w:val="single"/>
                              </w:rPr>
                              <w:t xml:space="preserve">         </w:t>
                            </w:r>
                            <w:r>
                              <w:rPr>
                                <w:rFonts w:hint="eastAsia" w:ascii="黑体" w:hAnsi="黑体" w:eastAsia="黑体" w:cs="黑体"/>
                                <w:b/>
                                <w:bCs/>
                                <w:sz w:val="24"/>
                                <w:u w:val="single"/>
                                <w:lang w:val="en-US" w:eastAsia="zh-CN"/>
                              </w:rPr>
                              <w:t xml:space="preserve">  </w:t>
                            </w:r>
                            <w:r>
                              <w:rPr>
                                <w:rFonts w:hint="eastAsia" w:ascii="黑体" w:hAnsi="黑体" w:eastAsia="黑体" w:cs="黑体"/>
                                <w:b/>
                                <w:bCs/>
                                <w:sz w:val="24"/>
                                <w:u w:val="single"/>
                              </w:rPr>
                              <w:t xml:space="preserve">   </w:t>
                            </w:r>
                            <w:r>
                              <w:rPr>
                                <w:rFonts w:hint="eastAsia" w:ascii="黑体" w:hAnsi="黑体" w:eastAsia="黑体" w:cs="黑体"/>
                                <w:b/>
                                <w:bCs/>
                                <w:sz w:val="24"/>
                                <w:u w:val="single"/>
                                <w:lang w:val="en-US" w:eastAsia="zh-CN"/>
                              </w:rPr>
                              <w:t xml:space="preserve">  </w:t>
                            </w:r>
                            <w:r>
                              <w:rPr>
                                <w:rFonts w:hint="eastAsia" w:ascii="黑体" w:hAnsi="黑体" w:eastAsia="黑体" w:cs="黑体"/>
                                <w:b/>
                                <w:bCs/>
                                <w:sz w:val="24"/>
                                <w:u w:val="single"/>
                              </w:rPr>
                              <w:t xml:space="preserve"> 202</w:t>
                            </w:r>
                            <w:r>
                              <w:rPr>
                                <w:rFonts w:hint="eastAsia" w:ascii="黑体" w:hAnsi="黑体" w:eastAsia="黑体" w:cs="黑体"/>
                                <w:b/>
                                <w:bCs/>
                                <w:sz w:val="24"/>
                                <w:u w:val="single"/>
                                <w:lang w:val="en-US" w:eastAsia="zh-CN"/>
                              </w:rPr>
                              <w:t>6</w:t>
                            </w:r>
                            <w:r>
                              <w:rPr>
                                <w:rFonts w:hint="eastAsia" w:ascii="黑体" w:hAnsi="黑体" w:eastAsia="黑体" w:cs="黑体"/>
                                <w:b/>
                                <w:bCs/>
                                <w:sz w:val="24"/>
                                <w:u w:val="single"/>
                              </w:rPr>
                              <w:t>年</w:t>
                            </w:r>
                            <w:r>
                              <w:rPr>
                                <w:rFonts w:hint="eastAsia" w:ascii="黑体" w:hAnsi="黑体" w:eastAsia="黑体" w:cs="黑体"/>
                                <w:b/>
                                <w:bCs/>
                                <w:sz w:val="24"/>
                                <w:u w:val="single"/>
                                <w:lang w:val="en-US" w:eastAsia="zh-CN"/>
                              </w:rPr>
                              <w:t>6</w:t>
                            </w:r>
                            <w:r>
                              <w:rPr>
                                <w:rFonts w:hint="eastAsia" w:ascii="黑体" w:hAnsi="黑体" w:eastAsia="黑体" w:cs="黑体"/>
                                <w:b/>
                                <w:bCs/>
                                <w:sz w:val="24"/>
                                <w:u w:val="single"/>
                              </w:rPr>
                              <w:t>月</w:t>
                            </w:r>
                            <w:r>
                              <w:rPr>
                                <w:rFonts w:hint="eastAsia" w:ascii="黑体" w:hAnsi="黑体" w:eastAsia="黑体" w:cs="黑体"/>
                                <w:b/>
                                <w:bCs/>
                                <w:sz w:val="24"/>
                                <w:u w:val="single"/>
                                <w:lang w:val="en-US" w:eastAsia="zh-CN"/>
                              </w:rPr>
                              <w:t>10</w:t>
                            </w:r>
                            <w:r>
                              <w:rPr>
                                <w:rFonts w:hint="eastAsia" w:ascii="黑体" w:hAnsi="黑体" w:eastAsia="黑体" w:cs="黑体"/>
                                <w:b/>
                                <w:bCs/>
                                <w:sz w:val="24"/>
                                <w:u w:val="single"/>
                              </w:rPr>
                              <w:t xml:space="preserve">日     </w:t>
                            </w:r>
                            <w:r>
                              <w:rPr>
                                <w:rFonts w:ascii="黑体" w:hAnsi="黑体" w:eastAsia="黑体" w:cs="黑体"/>
                                <w:b/>
                                <w:bCs/>
                                <w:sz w:val="24"/>
                                <w:u w:val="single"/>
                              </w:rPr>
                              <w:t xml:space="preserve"> </w:t>
                            </w:r>
                            <w:r>
                              <w:rPr>
                                <w:rFonts w:hint="eastAsia" w:ascii="黑体" w:hAnsi="黑体" w:eastAsia="黑体" w:cs="黑体"/>
                                <w:b/>
                                <w:bCs/>
                                <w:sz w:val="24"/>
                                <w:u w:val="single"/>
                              </w:rPr>
                              <w:t xml:space="preserve"> </w:t>
                            </w:r>
                            <w:r>
                              <w:rPr>
                                <w:rFonts w:hint="eastAsia" w:ascii="黑体" w:hAnsi="黑体" w:eastAsia="黑体" w:cs="黑体"/>
                                <w:b/>
                                <w:bCs/>
                                <w:sz w:val="24"/>
                                <w:u w:val="single"/>
                                <w:lang w:val="en-US" w:eastAsia="zh-CN"/>
                              </w:rPr>
                              <w:t xml:space="preserve">           </w:t>
                            </w:r>
                          </w:p>
                          <w:p w14:paraId="45FC3628">
                            <w:pPr>
                              <w:pStyle w:val="13"/>
                              <w:ind w:firstLine="560"/>
                            </w:pPr>
                          </w:p>
                          <w:p w14:paraId="4DE085A0">
                            <w:pPr>
                              <w:jc w:val="center"/>
                              <w:rPr>
                                <w:rFonts w:ascii="仿宋_GB2312" w:hAnsi="仿宋_GB2312" w:eastAsia="仿宋_GB2312" w:cs="仿宋_GB2312"/>
                                <w:sz w:val="32"/>
                                <w:szCs w:val="32"/>
                              </w:rPr>
                            </w:pPr>
                          </w:p>
                          <w:p w14:paraId="75E7E286">
                            <w:pPr>
                              <w:pStyle w:val="13"/>
                              <w:ind w:left="0" w:leftChars="0" w:firstLine="0" w:firstLineChars="0"/>
                              <w:rPr>
                                <w:rFonts w:ascii="仿宋_GB2312" w:hAnsi="仿宋_GB2312" w:eastAsia="仿宋_GB2312" w:cs="仿宋_GB2312"/>
                                <w:sz w:val="32"/>
                                <w:szCs w:val="32"/>
                              </w:rPr>
                            </w:pPr>
                          </w:p>
                          <w:p w14:paraId="562782BD">
                            <w:pPr>
                              <w:pStyle w:val="13"/>
                              <w:ind w:left="0" w:leftChars="0" w:firstLine="0" w:firstLineChars="0"/>
                              <w:rPr>
                                <w:rFonts w:ascii="仿宋_GB2312" w:hAnsi="仿宋_GB2312" w:eastAsia="仿宋_GB2312" w:cs="仿宋_GB2312"/>
                                <w:sz w:val="32"/>
                                <w:szCs w:val="32"/>
                              </w:rPr>
                            </w:pPr>
                          </w:p>
                          <w:p w14:paraId="741CE720">
                            <w:pPr>
                              <w:pStyle w:val="13"/>
                              <w:ind w:left="0" w:leftChars="0" w:firstLine="0" w:firstLineChars="0"/>
                              <w:rPr>
                                <w:rFonts w:ascii="仿宋_GB2312" w:hAnsi="仿宋_GB2312" w:eastAsia="仿宋_GB2312" w:cs="仿宋_GB2312"/>
                                <w:sz w:val="32"/>
                                <w:szCs w:val="32"/>
                              </w:rPr>
                            </w:pPr>
                          </w:p>
                          <w:p w14:paraId="609824AF">
                            <w:pPr>
                              <w:pStyle w:val="13"/>
                              <w:ind w:left="0" w:leftChars="0" w:firstLine="0" w:firstLineChars="0"/>
                              <w:rPr>
                                <w:rFonts w:ascii="仿宋_GB2312" w:hAnsi="仿宋_GB2312" w:eastAsia="仿宋_GB2312" w:cs="仿宋_GB2312"/>
                                <w:sz w:val="32"/>
                                <w:szCs w:val="32"/>
                              </w:rPr>
                            </w:pPr>
                          </w:p>
                          <w:p w14:paraId="5BF5DAA3">
                            <w:pPr>
                              <w:jc w:val="center"/>
                              <w:rPr>
                                <w:rFonts w:ascii="Times New Roman" w:hAnsi="Times New Roman"/>
                                <w:b/>
                                <w:bCs/>
                                <w:sz w:val="32"/>
                                <w:szCs w:val="22"/>
                              </w:rPr>
                            </w:pPr>
                            <w:r>
                              <w:rPr>
                                <w:rFonts w:hint="eastAsia" w:ascii="Times New Roman" w:hAnsi="Times New Roman"/>
                                <w:b/>
                                <w:bCs/>
                                <w:sz w:val="32"/>
                                <w:szCs w:val="22"/>
                                <w:lang w:val="en-US" w:eastAsia="zh-CN"/>
                              </w:rPr>
                              <w:t xml:space="preserve">      </w:t>
                            </w:r>
                            <w:r>
                              <w:rPr>
                                <w:rFonts w:hint="eastAsia" w:ascii="Times New Roman" w:hAnsi="Times New Roman"/>
                                <w:b/>
                                <w:bCs/>
                                <w:sz w:val="32"/>
                                <w:szCs w:val="22"/>
                              </w:rPr>
                              <w:t>浙 江 宏 誉 工 程 咨 询 有 限 公 司</w:t>
                            </w:r>
                          </w:p>
                          <w:p w14:paraId="1CF48CD8">
                            <w:pPr>
                              <w:jc w:val="center"/>
                              <w:rPr>
                                <w:rFonts w:ascii="Times New Roman" w:hAnsi="Times New Roman"/>
                                <w:sz w:val="28"/>
                              </w:rPr>
                            </w:pPr>
                          </w:p>
                          <w:p w14:paraId="3FF0EDE3">
                            <w:pPr>
                              <w:jc w:val="center"/>
                              <w:rPr>
                                <w:rFonts w:ascii="Times New Roman" w:hAnsi="Times New Roman"/>
                                <w:sz w:val="28"/>
                              </w:rPr>
                            </w:pPr>
                          </w:p>
                          <w:p w14:paraId="775147BF">
                            <w:pPr>
                              <w:jc w:val="center"/>
                              <w:rPr>
                                <w:rFonts w:ascii="Times New Roman" w:hAnsi="Times New Roman"/>
                                <w:sz w:val="28"/>
                              </w:rPr>
                            </w:pPr>
                          </w:p>
                          <w:p w14:paraId="2A665FFD">
                            <w:pPr>
                              <w:jc w:val="center"/>
                              <w:rPr>
                                <w:rFonts w:ascii="Times New Roman" w:hAnsi="Times New Roman"/>
                                <w:sz w:val="28"/>
                              </w:rPr>
                            </w:pPr>
                          </w:p>
                          <w:p w14:paraId="6CD1E7A2">
                            <w:pPr>
                              <w:rPr>
                                <w:rFonts w:ascii="Times New Roman" w:hAnsi="Times New Roman"/>
                              </w:rPr>
                            </w:pPr>
                          </w:p>
                          <w:p w14:paraId="3E7A8781">
                            <w:pPr>
                              <w:ind w:firstLine="280" w:firstLineChars="100"/>
                              <w:rPr>
                                <w:rFonts w:ascii="Times New Roman" w:hAnsi="Times New Roman"/>
                                <w:sz w:val="28"/>
                              </w:rPr>
                            </w:pPr>
                          </w:p>
                          <w:p w14:paraId="6BD85A37">
                            <w:pPr>
                              <w:rPr>
                                <w:rFonts w:ascii="Times New Roman" w:hAnsi="Times New Roman"/>
                                <w:sz w:val="28"/>
                              </w:rPr>
                            </w:pPr>
                          </w:p>
                          <w:p w14:paraId="5D135FB1">
                            <w:pPr>
                              <w:jc w:val="center"/>
                              <w:rPr>
                                <w:rFonts w:ascii="Times New Roman" w:hAnsi="Times New Roman"/>
                                <w:sz w:val="28"/>
                              </w:rPr>
                            </w:pPr>
                          </w:p>
                          <w:p w14:paraId="7E6B0956">
                            <w:pPr>
                              <w:jc w:val="center"/>
                              <w:rPr>
                                <w:rFonts w:ascii="Times New Roman" w:hAnsi="Times New Roman"/>
                                <w:sz w:val="28"/>
                              </w:rPr>
                            </w:pPr>
                          </w:p>
                          <w:p w14:paraId="7AC4A948">
                            <w:pPr>
                              <w:jc w:val="center"/>
                              <w:rPr>
                                <w:rFonts w:ascii="Times New Roman" w:hAnsi="Times New Roman"/>
                                <w:sz w:val="28"/>
                              </w:rPr>
                            </w:pPr>
                          </w:p>
                          <w:p w14:paraId="094644D3">
                            <w:pPr>
                              <w:jc w:val="center"/>
                              <w:rPr>
                                <w:rFonts w:ascii="Times New Roman" w:hAnsi="Times New Roman"/>
                                <w:sz w:val="28"/>
                              </w:rPr>
                            </w:pPr>
                          </w:p>
                          <w:p w14:paraId="76866494">
                            <w:pPr>
                              <w:jc w:val="center"/>
                              <w:rPr>
                                <w:rFonts w:ascii="Times New Roman" w:hAnsi="Times New Roman"/>
                                <w:sz w:val="28"/>
                              </w:rPr>
                            </w:pPr>
                          </w:p>
                          <w:p w14:paraId="04F596F5">
                            <w:pPr>
                              <w:jc w:val="center"/>
                              <w:rPr>
                                <w:rFonts w:ascii="Times New Roman" w:hAnsi="Times New Roman"/>
                                <w:sz w:val="28"/>
                              </w:rPr>
                            </w:pPr>
                          </w:p>
                          <w:p w14:paraId="1DBA35A1">
                            <w:pPr>
                              <w:jc w:val="center"/>
                              <w:rPr>
                                <w:rFonts w:ascii="Times New Roman" w:hAnsi="Times New Roman"/>
                                <w:b/>
                                <w:bCs/>
                                <w:sz w:val="36"/>
                              </w:rPr>
                            </w:pPr>
                            <w:r>
                              <w:rPr>
                                <w:rFonts w:hint="eastAsia" w:ascii="Times New Roman" w:hAnsi="Times New Roman"/>
                                <w:b/>
                                <w:bCs/>
                                <w:sz w:val="36"/>
                              </w:rPr>
                              <w:t>咨 询 单 位 全 称</w:t>
                            </w:r>
                          </w:p>
                          <w:p w14:paraId="70BA8DF7">
                            <w:pPr>
                              <w:jc w:val="center"/>
                              <w:rPr>
                                <w:rFonts w:ascii="Times New Roman" w:hAnsi="Times New Roman"/>
                                <w:sz w:val="28"/>
                              </w:rPr>
                            </w:pPr>
                            <w:r>
                              <w:rPr>
                                <w:rFonts w:hint="eastAsia" w:ascii="Times New Roman" w:hAnsi="Times New Roman"/>
                                <w:sz w:val="28"/>
                              </w:rPr>
                              <w:t>出具报告书日期</w:t>
                            </w:r>
                          </w:p>
                        </w:txbxContent>
                      </wps:txbx>
                      <wps:bodyPr upright="1"/>
                    </wps:wsp>
                  </a:graphicData>
                </a:graphic>
              </wp:anchor>
            </w:drawing>
          </mc:Choice>
          <mc:Fallback>
            <w:pict>
              <v:shape id="_x0000_s1026" o:spid="_x0000_s1026" o:spt="202" type="#_x0000_t202" style="position:absolute;left:0pt;margin-left:-18pt;margin-top:-10.6pt;height:711.5pt;width:459.9pt;z-index:251659264;mso-width-relative:page;mso-height-relative:page;" filled="f" stroked="f" coordsize="21600,21600" o:gfxdata="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b+OmHNkAAAAMAQAADwAAAAAAAAABACAAAAAiAAAAZHJzL2Rvd25yZXYu&#10;eG1sUEsBAhQAFAAAAAgAh07iQD04yVT6AQAA8wMAAA4AAAAAAAAAAQAgAAAAKAEAAGRycy9lMm9E&#10;b2MueG1sUEsFBgAAAAAGAAYAWQEAAJQFAAAAAA==&#10;">
                <v:fill on="f" focussize="0,0"/>
                <v:stroke on="f" joinstyle="miter"/>
                <v:imagedata o:title=""/>
                <o:lock v:ext="edit" aspectratio="f"/>
                <v:textbox>
                  <w:txbxContent>
                    <w:p w14:paraId="688E5D49">
                      <w:pPr>
                        <w:rPr>
                          <w:rFonts w:ascii="Times New Roman" w:hAnsi="Times New Roman"/>
                        </w:rPr>
                      </w:pPr>
                    </w:p>
                    <w:p w14:paraId="676F38C3">
                      <w:pPr>
                        <w:rPr>
                          <w:rFonts w:ascii="Times New Roman" w:hAnsi="Times New Roman"/>
                          <w:b/>
                          <w:bCs/>
                          <w:sz w:val="36"/>
                        </w:rPr>
                      </w:pPr>
                    </w:p>
                    <w:p w14:paraId="60C0D30B">
                      <w:pPr>
                        <w:jc w:val="center"/>
                        <w:rPr>
                          <w:rFonts w:ascii="Times New Roman" w:hAnsi="Times New Roman"/>
                          <w:sz w:val="28"/>
                        </w:rPr>
                      </w:pPr>
                    </w:p>
                    <w:p w14:paraId="789FDC7A">
                      <w:pPr>
                        <w:jc w:val="center"/>
                        <w:rPr>
                          <w:rFonts w:ascii="黑体" w:hAnsi="黑体" w:eastAsia="黑体" w:cs="黑体"/>
                          <w:sz w:val="52"/>
                          <w:szCs w:val="52"/>
                        </w:rPr>
                      </w:pPr>
                      <w:r>
                        <w:rPr>
                          <w:rFonts w:hint="eastAsia" w:ascii="黑体" w:hAnsi="黑体" w:eastAsia="黑体" w:cs="黑体"/>
                          <w:sz w:val="52"/>
                          <w:szCs w:val="52"/>
                          <w:lang w:val="en-US" w:eastAsia="zh-CN"/>
                        </w:rPr>
                        <w:t xml:space="preserve">   </w:t>
                      </w:r>
                      <w:r>
                        <w:rPr>
                          <w:rFonts w:hint="eastAsia" w:ascii="黑体" w:hAnsi="黑体" w:eastAsia="黑体" w:cs="黑体"/>
                          <w:sz w:val="52"/>
                          <w:szCs w:val="52"/>
                        </w:rPr>
                        <w:t>工程造价咨询报告书</w:t>
                      </w:r>
                    </w:p>
                    <w:p w14:paraId="5FEBA54C">
                      <w:pPr>
                        <w:rPr>
                          <w:rFonts w:ascii="Times New Roman" w:hAnsi="Times New Roman"/>
                          <w:sz w:val="28"/>
                        </w:rPr>
                      </w:pPr>
                    </w:p>
                    <w:p w14:paraId="4524199B">
                      <w:pPr>
                        <w:pStyle w:val="13"/>
                        <w:ind w:firstLine="560"/>
                        <w:rPr>
                          <w:rFonts w:hAnsi="Times New Roman"/>
                        </w:rPr>
                      </w:pPr>
                    </w:p>
                    <w:p w14:paraId="0E3401C7">
                      <w:pPr>
                        <w:pStyle w:val="13"/>
                        <w:ind w:firstLine="560"/>
                        <w:rPr>
                          <w:rFonts w:hAnsi="Times New Roman"/>
                        </w:rPr>
                      </w:pPr>
                    </w:p>
                    <w:p w14:paraId="068AF9C5">
                      <w:pPr>
                        <w:jc w:val="center"/>
                        <w:rPr>
                          <w:rFonts w:ascii="Times New Roman" w:hAnsi="Times New Roman"/>
                          <w:sz w:val="28"/>
                        </w:rPr>
                      </w:pPr>
                    </w:p>
                    <w:p w14:paraId="7933D3F4">
                      <w:pPr>
                        <w:spacing w:line="560" w:lineRule="exact"/>
                        <w:ind w:left="3123" w:leftChars="684" w:hanging="1687" w:hangingChars="700"/>
                        <w:rPr>
                          <w:rFonts w:hint="eastAsia" w:ascii="黑体" w:hAnsi="黑体" w:eastAsia="黑体" w:cs="黑体"/>
                          <w:b/>
                          <w:bCs/>
                          <w:sz w:val="24"/>
                        </w:rPr>
                      </w:pPr>
                    </w:p>
                    <w:p w14:paraId="54516A6F">
                      <w:pPr>
                        <w:spacing w:line="560" w:lineRule="exact"/>
                        <w:ind w:left="3123" w:leftChars="684" w:hanging="1687" w:hangingChars="700"/>
                        <w:rPr>
                          <w:rFonts w:hint="default" w:ascii="黑体" w:hAnsi="黑体" w:eastAsia="黑体" w:cs="黑体"/>
                          <w:b/>
                          <w:bCs/>
                          <w:sz w:val="24"/>
                          <w:u w:val="single"/>
                          <w:lang w:val="en-US" w:eastAsia="zh-CN"/>
                        </w:rPr>
                      </w:pPr>
                      <w:r>
                        <w:rPr>
                          <w:rFonts w:hint="eastAsia" w:ascii="黑体" w:hAnsi="黑体" w:eastAsia="黑体" w:cs="黑体"/>
                          <w:b/>
                          <w:bCs/>
                          <w:sz w:val="24"/>
                        </w:rPr>
                        <w:t>咨询项目全称</w:t>
                      </w:r>
                      <w:r>
                        <w:rPr>
                          <w:rFonts w:hint="eastAsia" w:ascii="黑体" w:hAnsi="黑体" w:eastAsia="黑体" w:cs="黑体"/>
                          <w:b/>
                          <w:bCs/>
                          <w:sz w:val="24"/>
                          <w:u w:val="single"/>
                        </w:rPr>
                        <w:t xml:space="preserve"> </w:t>
                      </w:r>
                      <w:r>
                        <w:rPr>
                          <w:rFonts w:hint="eastAsia" w:ascii="黑体" w:hAnsi="黑体" w:eastAsia="黑体" w:cs="黑体"/>
                          <w:b/>
                          <w:bCs/>
                          <w:sz w:val="24"/>
                          <w:u w:val="single"/>
                          <w:lang w:val="en-US" w:eastAsia="zh-CN"/>
                        </w:rPr>
                        <w:t xml:space="preserve"> 临海市古城小学篮球场、卫生间及校门改造工程     </w:t>
                      </w:r>
                    </w:p>
                    <w:p w14:paraId="717ECC24">
                      <w:pPr>
                        <w:spacing w:line="560" w:lineRule="exact"/>
                        <w:ind w:firstLine="1446" w:firstLineChars="600"/>
                        <w:rPr>
                          <w:rFonts w:hint="default" w:ascii="黑体" w:hAnsi="黑体" w:eastAsia="黑体" w:cs="黑体"/>
                          <w:b/>
                          <w:bCs/>
                          <w:sz w:val="24"/>
                          <w:lang w:val="en-US"/>
                        </w:rPr>
                      </w:pPr>
                      <w:r>
                        <w:rPr>
                          <w:rFonts w:hint="eastAsia" w:ascii="黑体" w:hAnsi="黑体" w:eastAsia="黑体" w:cs="黑体"/>
                          <w:b/>
                          <w:bCs/>
                          <w:sz w:val="24"/>
                        </w:rPr>
                        <w:t>咨询业务类别</w:t>
                      </w:r>
                      <w:r>
                        <w:rPr>
                          <w:rFonts w:hint="eastAsia" w:ascii="黑体" w:hAnsi="黑体" w:eastAsia="黑体" w:cs="黑体"/>
                          <w:b/>
                          <w:bCs/>
                          <w:sz w:val="24"/>
                          <w:u w:val="single"/>
                          <w:lang w:val="en-US" w:eastAsia="zh-CN"/>
                        </w:rPr>
                        <w:t xml:space="preserve">                   预算编制</w:t>
                      </w:r>
                      <w:r>
                        <w:rPr>
                          <w:rFonts w:hint="eastAsia" w:ascii="黑体" w:hAnsi="黑体" w:eastAsia="黑体" w:cs="黑体"/>
                          <w:b/>
                          <w:bCs/>
                          <w:sz w:val="24"/>
                          <w:u w:val="single"/>
                        </w:rPr>
                        <w:t xml:space="preserve">           </w:t>
                      </w:r>
                      <w:r>
                        <w:rPr>
                          <w:rFonts w:ascii="黑体" w:hAnsi="黑体" w:eastAsia="黑体" w:cs="黑体"/>
                          <w:b/>
                          <w:bCs/>
                          <w:sz w:val="24"/>
                          <w:u w:val="single"/>
                        </w:rPr>
                        <w:t xml:space="preserve"> </w:t>
                      </w:r>
                      <w:r>
                        <w:rPr>
                          <w:rFonts w:hint="eastAsia" w:ascii="黑体" w:hAnsi="黑体" w:eastAsia="黑体" w:cs="黑体"/>
                          <w:b/>
                          <w:bCs/>
                          <w:sz w:val="24"/>
                          <w:u w:val="single"/>
                        </w:rPr>
                        <w:t xml:space="preserve"> </w:t>
                      </w:r>
                      <w:r>
                        <w:rPr>
                          <w:rFonts w:hint="eastAsia" w:ascii="黑体" w:hAnsi="黑体" w:eastAsia="黑体" w:cs="黑体"/>
                          <w:b/>
                          <w:bCs/>
                          <w:sz w:val="24"/>
                          <w:u w:val="single"/>
                          <w:lang w:val="en-US" w:eastAsia="zh-CN"/>
                        </w:rPr>
                        <w:t xml:space="preserve">       </w:t>
                      </w:r>
                      <w:r>
                        <w:rPr>
                          <w:rFonts w:hint="eastAsia" w:ascii="黑体" w:hAnsi="黑体" w:eastAsia="黑体" w:cs="黑体"/>
                          <w:b/>
                          <w:bCs/>
                          <w:sz w:val="24"/>
                          <w:u w:val="single"/>
                        </w:rPr>
                        <w:t xml:space="preserve">  </w:t>
                      </w:r>
                      <w:r>
                        <w:rPr>
                          <w:rFonts w:hint="eastAsia" w:ascii="黑体" w:hAnsi="黑体" w:eastAsia="黑体" w:cs="黑体"/>
                          <w:b/>
                          <w:bCs/>
                          <w:sz w:val="24"/>
                          <w:u w:val="single"/>
                          <w:lang w:val="en-US" w:eastAsia="zh-CN"/>
                        </w:rPr>
                        <w:t xml:space="preserve"> </w:t>
                      </w:r>
                    </w:p>
                    <w:p w14:paraId="0B4A71BC">
                      <w:pPr>
                        <w:spacing w:line="560" w:lineRule="exact"/>
                        <w:ind w:firstLine="1446" w:firstLineChars="600"/>
                        <w:rPr>
                          <w:rFonts w:hint="default" w:ascii="仿宋_GB2312" w:hAnsi="仿宋_GB2312" w:eastAsia="仿宋_GB2312" w:cs="仿宋_GB2312"/>
                          <w:sz w:val="32"/>
                          <w:szCs w:val="32"/>
                          <w:lang w:val="en-US"/>
                        </w:rPr>
                      </w:pPr>
                      <w:r>
                        <w:rPr>
                          <w:rFonts w:hint="eastAsia" w:ascii="黑体" w:hAnsi="黑体" w:eastAsia="黑体" w:cs="黑体"/>
                          <w:b/>
                          <w:bCs/>
                          <w:sz w:val="24"/>
                        </w:rPr>
                        <w:t>咨询报告日期</w:t>
                      </w:r>
                      <w:r>
                        <w:rPr>
                          <w:rFonts w:hint="eastAsia" w:ascii="黑体" w:hAnsi="黑体" w:eastAsia="黑体" w:cs="黑体"/>
                          <w:b/>
                          <w:bCs/>
                          <w:sz w:val="24"/>
                          <w:u w:val="single"/>
                        </w:rPr>
                        <w:t xml:space="preserve">         </w:t>
                      </w:r>
                      <w:r>
                        <w:rPr>
                          <w:rFonts w:hint="eastAsia" w:ascii="黑体" w:hAnsi="黑体" w:eastAsia="黑体" w:cs="黑体"/>
                          <w:b/>
                          <w:bCs/>
                          <w:sz w:val="24"/>
                          <w:u w:val="single"/>
                          <w:lang w:val="en-US" w:eastAsia="zh-CN"/>
                        </w:rPr>
                        <w:t xml:space="preserve">  </w:t>
                      </w:r>
                      <w:r>
                        <w:rPr>
                          <w:rFonts w:hint="eastAsia" w:ascii="黑体" w:hAnsi="黑体" w:eastAsia="黑体" w:cs="黑体"/>
                          <w:b/>
                          <w:bCs/>
                          <w:sz w:val="24"/>
                          <w:u w:val="single"/>
                        </w:rPr>
                        <w:t xml:space="preserve">   </w:t>
                      </w:r>
                      <w:r>
                        <w:rPr>
                          <w:rFonts w:hint="eastAsia" w:ascii="黑体" w:hAnsi="黑体" w:eastAsia="黑体" w:cs="黑体"/>
                          <w:b/>
                          <w:bCs/>
                          <w:sz w:val="24"/>
                          <w:u w:val="single"/>
                          <w:lang w:val="en-US" w:eastAsia="zh-CN"/>
                        </w:rPr>
                        <w:t xml:space="preserve">  </w:t>
                      </w:r>
                      <w:r>
                        <w:rPr>
                          <w:rFonts w:hint="eastAsia" w:ascii="黑体" w:hAnsi="黑体" w:eastAsia="黑体" w:cs="黑体"/>
                          <w:b/>
                          <w:bCs/>
                          <w:sz w:val="24"/>
                          <w:u w:val="single"/>
                        </w:rPr>
                        <w:t xml:space="preserve"> 202</w:t>
                      </w:r>
                      <w:r>
                        <w:rPr>
                          <w:rFonts w:hint="eastAsia" w:ascii="黑体" w:hAnsi="黑体" w:eastAsia="黑体" w:cs="黑体"/>
                          <w:b/>
                          <w:bCs/>
                          <w:sz w:val="24"/>
                          <w:u w:val="single"/>
                          <w:lang w:val="en-US" w:eastAsia="zh-CN"/>
                        </w:rPr>
                        <w:t>6</w:t>
                      </w:r>
                      <w:r>
                        <w:rPr>
                          <w:rFonts w:hint="eastAsia" w:ascii="黑体" w:hAnsi="黑体" w:eastAsia="黑体" w:cs="黑体"/>
                          <w:b/>
                          <w:bCs/>
                          <w:sz w:val="24"/>
                          <w:u w:val="single"/>
                        </w:rPr>
                        <w:t>年</w:t>
                      </w:r>
                      <w:r>
                        <w:rPr>
                          <w:rFonts w:hint="eastAsia" w:ascii="黑体" w:hAnsi="黑体" w:eastAsia="黑体" w:cs="黑体"/>
                          <w:b/>
                          <w:bCs/>
                          <w:sz w:val="24"/>
                          <w:u w:val="single"/>
                          <w:lang w:val="en-US" w:eastAsia="zh-CN"/>
                        </w:rPr>
                        <w:t>6</w:t>
                      </w:r>
                      <w:r>
                        <w:rPr>
                          <w:rFonts w:hint="eastAsia" w:ascii="黑体" w:hAnsi="黑体" w:eastAsia="黑体" w:cs="黑体"/>
                          <w:b/>
                          <w:bCs/>
                          <w:sz w:val="24"/>
                          <w:u w:val="single"/>
                        </w:rPr>
                        <w:t>月</w:t>
                      </w:r>
                      <w:r>
                        <w:rPr>
                          <w:rFonts w:hint="eastAsia" w:ascii="黑体" w:hAnsi="黑体" w:eastAsia="黑体" w:cs="黑体"/>
                          <w:b/>
                          <w:bCs/>
                          <w:sz w:val="24"/>
                          <w:u w:val="single"/>
                          <w:lang w:val="en-US" w:eastAsia="zh-CN"/>
                        </w:rPr>
                        <w:t>10</w:t>
                      </w:r>
                      <w:r>
                        <w:rPr>
                          <w:rFonts w:hint="eastAsia" w:ascii="黑体" w:hAnsi="黑体" w:eastAsia="黑体" w:cs="黑体"/>
                          <w:b/>
                          <w:bCs/>
                          <w:sz w:val="24"/>
                          <w:u w:val="single"/>
                        </w:rPr>
                        <w:t xml:space="preserve">日     </w:t>
                      </w:r>
                      <w:r>
                        <w:rPr>
                          <w:rFonts w:ascii="黑体" w:hAnsi="黑体" w:eastAsia="黑体" w:cs="黑体"/>
                          <w:b/>
                          <w:bCs/>
                          <w:sz w:val="24"/>
                          <w:u w:val="single"/>
                        </w:rPr>
                        <w:t xml:space="preserve"> </w:t>
                      </w:r>
                      <w:r>
                        <w:rPr>
                          <w:rFonts w:hint="eastAsia" w:ascii="黑体" w:hAnsi="黑体" w:eastAsia="黑体" w:cs="黑体"/>
                          <w:b/>
                          <w:bCs/>
                          <w:sz w:val="24"/>
                          <w:u w:val="single"/>
                        </w:rPr>
                        <w:t xml:space="preserve"> </w:t>
                      </w:r>
                      <w:r>
                        <w:rPr>
                          <w:rFonts w:hint="eastAsia" w:ascii="黑体" w:hAnsi="黑体" w:eastAsia="黑体" w:cs="黑体"/>
                          <w:b/>
                          <w:bCs/>
                          <w:sz w:val="24"/>
                          <w:u w:val="single"/>
                          <w:lang w:val="en-US" w:eastAsia="zh-CN"/>
                        </w:rPr>
                        <w:t xml:space="preserve">           </w:t>
                      </w:r>
                    </w:p>
                    <w:p w14:paraId="45FC3628">
                      <w:pPr>
                        <w:pStyle w:val="13"/>
                        <w:ind w:firstLine="560"/>
                      </w:pPr>
                    </w:p>
                    <w:p w14:paraId="4DE085A0">
                      <w:pPr>
                        <w:jc w:val="center"/>
                        <w:rPr>
                          <w:rFonts w:ascii="仿宋_GB2312" w:hAnsi="仿宋_GB2312" w:eastAsia="仿宋_GB2312" w:cs="仿宋_GB2312"/>
                          <w:sz w:val="32"/>
                          <w:szCs w:val="32"/>
                        </w:rPr>
                      </w:pPr>
                    </w:p>
                    <w:p w14:paraId="75E7E286">
                      <w:pPr>
                        <w:pStyle w:val="13"/>
                        <w:ind w:left="0" w:leftChars="0" w:firstLine="0" w:firstLineChars="0"/>
                        <w:rPr>
                          <w:rFonts w:ascii="仿宋_GB2312" w:hAnsi="仿宋_GB2312" w:eastAsia="仿宋_GB2312" w:cs="仿宋_GB2312"/>
                          <w:sz w:val="32"/>
                          <w:szCs w:val="32"/>
                        </w:rPr>
                      </w:pPr>
                    </w:p>
                    <w:p w14:paraId="562782BD">
                      <w:pPr>
                        <w:pStyle w:val="13"/>
                        <w:ind w:left="0" w:leftChars="0" w:firstLine="0" w:firstLineChars="0"/>
                        <w:rPr>
                          <w:rFonts w:ascii="仿宋_GB2312" w:hAnsi="仿宋_GB2312" w:eastAsia="仿宋_GB2312" w:cs="仿宋_GB2312"/>
                          <w:sz w:val="32"/>
                          <w:szCs w:val="32"/>
                        </w:rPr>
                      </w:pPr>
                    </w:p>
                    <w:p w14:paraId="741CE720">
                      <w:pPr>
                        <w:pStyle w:val="13"/>
                        <w:ind w:left="0" w:leftChars="0" w:firstLine="0" w:firstLineChars="0"/>
                        <w:rPr>
                          <w:rFonts w:ascii="仿宋_GB2312" w:hAnsi="仿宋_GB2312" w:eastAsia="仿宋_GB2312" w:cs="仿宋_GB2312"/>
                          <w:sz w:val="32"/>
                          <w:szCs w:val="32"/>
                        </w:rPr>
                      </w:pPr>
                    </w:p>
                    <w:p w14:paraId="609824AF">
                      <w:pPr>
                        <w:pStyle w:val="13"/>
                        <w:ind w:left="0" w:leftChars="0" w:firstLine="0" w:firstLineChars="0"/>
                        <w:rPr>
                          <w:rFonts w:ascii="仿宋_GB2312" w:hAnsi="仿宋_GB2312" w:eastAsia="仿宋_GB2312" w:cs="仿宋_GB2312"/>
                          <w:sz w:val="32"/>
                          <w:szCs w:val="32"/>
                        </w:rPr>
                      </w:pPr>
                    </w:p>
                    <w:p w14:paraId="5BF5DAA3">
                      <w:pPr>
                        <w:jc w:val="center"/>
                        <w:rPr>
                          <w:rFonts w:ascii="Times New Roman" w:hAnsi="Times New Roman"/>
                          <w:b/>
                          <w:bCs/>
                          <w:sz w:val="32"/>
                          <w:szCs w:val="22"/>
                        </w:rPr>
                      </w:pPr>
                      <w:r>
                        <w:rPr>
                          <w:rFonts w:hint="eastAsia" w:ascii="Times New Roman" w:hAnsi="Times New Roman"/>
                          <w:b/>
                          <w:bCs/>
                          <w:sz w:val="32"/>
                          <w:szCs w:val="22"/>
                          <w:lang w:val="en-US" w:eastAsia="zh-CN"/>
                        </w:rPr>
                        <w:t xml:space="preserve">      </w:t>
                      </w:r>
                      <w:r>
                        <w:rPr>
                          <w:rFonts w:hint="eastAsia" w:ascii="Times New Roman" w:hAnsi="Times New Roman"/>
                          <w:b/>
                          <w:bCs/>
                          <w:sz w:val="32"/>
                          <w:szCs w:val="22"/>
                        </w:rPr>
                        <w:t>浙 江 宏 誉 工 程 咨 询 有 限 公 司</w:t>
                      </w:r>
                    </w:p>
                    <w:p w14:paraId="1CF48CD8">
                      <w:pPr>
                        <w:jc w:val="center"/>
                        <w:rPr>
                          <w:rFonts w:ascii="Times New Roman" w:hAnsi="Times New Roman"/>
                          <w:sz w:val="28"/>
                        </w:rPr>
                      </w:pPr>
                    </w:p>
                    <w:p w14:paraId="3FF0EDE3">
                      <w:pPr>
                        <w:jc w:val="center"/>
                        <w:rPr>
                          <w:rFonts w:ascii="Times New Roman" w:hAnsi="Times New Roman"/>
                          <w:sz w:val="28"/>
                        </w:rPr>
                      </w:pPr>
                    </w:p>
                    <w:p w14:paraId="775147BF">
                      <w:pPr>
                        <w:jc w:val="center"/>
                        <w:rPr>
                          <w:rFonts w:ascii="Times New Roman" w:hAnsi="Times New Roman"/>
                          <w:sz w:val="28"/>
                        </w:rPr>
                      </w:pPr>
                    </w:p>
                    <w:p w14:paraId="2A665FFD">
                      <w:pPr>
                        <w:jc w:val="center"/>
                        <w:rPr>
                          <w:rFonts w:ascii="Times New Roman" w:hAnsi="Times New Roman"/>
                          <w:sz w:val="28"/>
                        </w:rPr>
                      </w:pPr>
                    </w:p>
                    <w:p w14:paraId="6CD1E7A2">
                      <w:pPr>
                        <w:rPr>
                          <w:rFonts w:ascii="Times New Roman" w:hAnsi="Times New Roman"/>
                        </w:rPr>
                      </w:pPr>
                    </w:p>
                    <w:p w14:paraId="3E7A8781">
                      <w:pPr>
                        <w:ind w:firstLine="280" w:firstLineChars="100"/>
                        <w:rPr>
                          <w:rFonts w:ascii="Times New Roman" w:hAnsi="Times New Roman"/>
                          <w:sz w:val="28"/>
                        </w:rPr>
                      </w:pPr>
                    </w:p>
                    <w:p w14:paraId="6BD85A37">
                      <w:pPr>
                        <w:rPr>
                          <w:rFonts w:ascii="Times New Roman" w:hAnsi="Times New Roman"/>
                          <w:sz w:val="28"/>
                        </w:rPr>
                      </w:pPr>
                    </w:p>
                    <w:p w14:paraId="5D135FB1">
                      <w:pPr>
                        <w:jc w:val="center"/>
                        <w:rPr>
                          <w:rFonts w:ascii="Times New Roman" w:hAnsi="Times New Roman"/>
                          <w:sz w:val="28"/>
                        </w:rPr>
                      </w:pPr>
                    </w:p>
                    <w:p w14:paraId="7E6B0956">
                      <w:pPr>
                        <w:jc w:val="center"/>
                        <w:rPr>
                          <w:rFonts w:ascii="Times New Roman" w:hAnsi="Times New Roman"/>
                          <w:sz w:val="28"/>
                        </w:rPr>
                      </w:pPr>
                    </w:p>
                    <w:p w14:paraId="7AC4A948">
                      <w:pPr>
                        <w:jc w:val="center"/>
                        <w:rPr>
                          <w:rFonts w:ascii="Times New Roman" w:hAnsi="Times New Roman"/>
                          <w:sz w:val="28"/>
                        </w:rPr>
                      </w:pPr>
                    </w:p>
                    <w:p w14:paraId="094644D3">
                      <w:pPr>
                        <w:jc w:val="center"/>
                        <w:rPr>
                          <w:rFonts w:ascii="Times New Roman" w:hAnsi="Times New Roman"/>
                          <w:sz w:val="28"/>
                        </w:rPr>
                      </w:pPr>
                    </w:p>
                    <w:p w14:paraId="76866494">
                      <w:pPr>
                        <w:jc w:val="center"/>
                        <w:rPr>
                          <w:rFonts w:ascii="Times New Roman" w:hAnsi="Times New Roman"/>
                          <w:sz w:val="28"/>
                        </w:rPr>
                      </w:pPr>
                    </w:p>
                    <w:p w14:paraId="04F596F5">
                      <w:pPr>
                        <w:jc w:val="center"/>
                        <w:rPr>
                          <w:rFonts w:ascii="Times New Roman" w:hAnsi="Times New Roman"/>
                          <w:sz w:val="28"/>
                        </w:rPr>
                      </w:pPr>
                    </w:p>
                    <w:p w14:paraId="1DBA35A1">
                      <w:pPr>
                        <w:jc w:val="center"/>
                        <w:rPr>
                          <w:rFonts w:ascii="Times New Roman" w:hAnsi="Times New Roman"/>
                          <w:b/>
                          <w:bCs/>
                          <w:sz w:val="36"/>
                        </w:rPr>
                      </w:pPr>
                      <w:r>
                        <w:rPr>
                          <w:rFonts w:hint="eastAsia" w:ascii="Times New Roman" w:hAnsi="Times New Roman"/>
                          <w:b/>
                          <w:bCs/>
                          <w:sz w:val="36"/>
                        </w:rPr>
                        <w:t>咨 询 单 位 全 称</w:t>
                      </w:r>
                    </w:p>
                    <w:p w14:paraId="70BA8DF7">
                      <w:pPr>
                        <w:jc w:val="center"/>
                        <w:rPr>
                          <w:rFonts w:ascii="Times New Roman" w:hAnsi="Times New Roman"/>
                          <w:sz w:val="28"/>
                        </w:rPr>
                      </w:pPr>
                      <w:r>
                        <w:rPr>
                          <w:rFonts w:hint="eastAsia" w:ascii="Times New Roman" w:hAnsi="Times New Roman"/>
                          <w:sz w:val="28"/>
                        </w:rPr>
                        <w:t>出具报告书日期</w:t>
                      </w:r>
                    </w:p>
                  </w:txbxContent>
                </v:textbox>
              </v:shape>
            </w:pict>
          </mc:Fallback>
        </mc:AlternateContent>
      </w:r>
      <w:r>
        <w:rPr>
          <w:rFonts w:hint="eastAsia" w:eastAsia="方正姚体"/>
          <w:b/>
          <w:bCs/>
          <w:spacing w:val="100"/>
          <w:sz w:val="44"/>
          <w:szCs w:val="44"/>
        </w:rPr>
        <w:br w:type="page"/>
      </w:r>
    </w:p>
    <w:tbl>
      <w:tblPr>
        <w:tblStyle w:val="14"/>
        <w:tblpPr w:leftFromText="180" w:rightFromText="180" w:vertAnchor="page" w:horzAnchor="page" w:tblpX="1705" w:tblpY="1443"/>
        <w:tblOverlap w:val="never"/>
        <w:tblW w:w="888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880"/>
      </w:tblGrid>
      <w:tr w14:paraId="56B910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809" w:hRule="exact"/>
        </w:trPr>
        <w:tc>
          <w:tcPr>
            <w:tcW w:w="8880" w:type="dxa"/>
            <w:noWrap w:val="0"/>
            <w:vAlign w:val="top"/>
          </w:tcPr>
          <w:p w14:paraId="41DB39B9">
            <w:pPr>
              <w:widowControl w:val="0"/>
              <w:spacing w:line="480" w:lineRule="auto"/>
              <w:jc w:val="both"/>
              <w:rPr>
                <w:rFonts w:hint="eastAsia" w:ascii="仿宋_GB2312" w:hAnsi="仿宋_GB2312" w:eastAsia="仿宋_GB2312" w:cs="仿宋_GB2312"/>
                <w:color w:val="auto"/>
                <w:kern w:val="2"/>
                <w:sz w:val="24"/>
                <w:szCs w:val="24"/>
                <w:highlight w:val="none"/>
                <w:lang w:val="en-US" w:eastAsia="zh-CN" w:bidi="ar-SA"/>
              </w:rPr>
            </w:pPr>
          </w:p>
          <w:p w14:paraId="6CF12850">
            <w:pPr>
              <w:widowControl w:val="0"/>
              <w:spacing w:line="480" w:lineRule="auto"/>
              <w:jc w:val="both"/>
              <w:rPr>
                <w:rFonts w:hint="eastAsia" w:ascii="仿宋_GB2312" w:hAnsi="仿宋_GB2312" w:eastAsia="仿宋_GB2312" w:cs="仿宋_GB2312"/>
                <w:color w:val="FF0000"/>
                <w:kern w:val="2"/>
                <w:sz w:val="24"/>
                <w:szCs w:val="24"/>
                <w:highlight w:val="none"/>
                <w:lang w:val="en-US" w:eastAsia="zh-CN" w:bidi="ar-SA"/>
              </w:rPr>
            </w:pPr>
            <w:r>
              <w:rPr>
                <w:rFonts w:hint="eastAsia" w:ascii="仿宋_GB2312" w:hAnsi="仿宋_GB2312" w:eastAsia="仿宋_GB2312" w:cs="仿宋_GB2312"/>
                <w:color w:val="auto"/>
                <w:kern w:val="2"/>
                <w:sz w:val="24"/>
                <w:szCs w:val="24"/>
                <w:highlight w:val="none"/>
                <w:lang w:val="en-US" w:eastAsia="zh-CN" w:bidi="ar-SA"/>
              </w:rPr>
              <w:t>咨询报告书编号：</w:t>
            </w:r>
            <w:r>
              <w:rPr>
                <w:rFonts w:hint="eastAsia" w:ascii="仿宋_GB2312" w:hAnsi="仿宋_GB2312" w:eastAsia="仿宋_GB2312" w:cs="仿宋_GB2312"/>
                <w:color w:val="FF0000"/>
                <w:kern w:val="2"/>
                <w:sz w:val="24"/>
                <w:szCs w:val="24"/>
                <w:highlight w:val="none"/>
                <w:lang w:val="en-US" w:eastAsia="zh-CN" w:bidi="ar-SA"/>
              </w:rPr>
              <w:t>浙宏（临）预 (2026)001号</w:t>
            </w:r>
          </w:p>
          <w:p w14:paraId="5A097755">
            <w:pPr>
              <w:widowControl w:val="0"/>
              <w:spacing w:line="480" w:lineRule="auto"/>
              <w:jc w:val="both"/>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kern w:val="2"/>
                <w:sz w:val="24"/>
                <w:szCs w:val="24"/>
                <w:highlight w:val="none"/>
                <w:lang w:val="en-US" w:eastAsia="zh-CN" w:bidi="ar-SA"/>
              </w:rPr>
              <w:t>咨询项目委托单位：临海市古城小学</w:t>
            </w:r>
          </w:p>
          <w:p w14:paraId="55A16F17">
            <w:pPr>
              <w:widowControl w:val="0"/>
              <w:spacing w:line="480" w:lineRule="auto"/>
              <w:jc w:val="both"/>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kern w:val="2"/>
                <w:sz w:val="24"/>
                <w:szCs w:val="24"/>
                <w:highlight w:val="none"/>
                <w:lang w:val="en-US" w:eastAsia="zh-CN" w:bidi="ar-SA"/>
              </w:rPr>
              <w:t>咨询企业法定住所：</w:t>
            </w:r>
            <w:r>
              <w:rPr>
                <w:rFonts w:hint="eastAsia" w:ascii="仿宋" w:hAnsi="仿宋" w:eastAsia="仿宋"/>
                <w:sz w:val="24"/>
              </w:rPr>
              <w:t>浙江省金华市李渔路1103号宝莲广场A座9楼</w:t>
            </w:r>
            <w:r>
              <w:rPr>
                <w:rFonts w:hint="eastAsia" w:ascii="仿宋_GB2312" w:hAnsi="仿宋_GB2312" w:eastAsia="仿宋_GB2312" w:cs="仿宋_GB2312"/>
                <w:color w:val="auto"/>
                <w:kern w:val="2"/>
                <w:sz w:val="24"/>
                <w:szCs w:val="24"/>
                <w:highlight w:val="none"/>
                <w:lang w:val="en-US" w:eastAsia="zh-CN" w:bidi="ar-SA"/>
              </w:rPr>
              <w:t xml:space="preserve"> </w:t>
            </w:r>
          </w:p>
          <w:p w14:paraId="7705F88D">
            <w:pPr>
              <w:spacing w:line="480" w:lineRule="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法定代表人：</w:t>
            </w:r>
            <w:r>
              <w:rPr>
                <w:rFonts w:hint="eastAsia" w:ascii="仿宋_GB2312" w:hAnsi="仿宋_GB2312" w:eastAsia="仿宋_GB2312" w:cs="仿宋_GB2312"/>
                <w:color w:val="auto"/>
                <w:sz w:val="24"/>
                <w:szCs w:val="24"/>
                <w:highlight w:val="none"/>
                <w:lang w:val="en-US" w:eastAsia="zh-CN"/>
              </w:rPr>
              <w:t xml:space="preserve"> </w:t>
            </w:r>
            <w:r>
              <w:rPr>
                <w:rFonts w:hint="eastAsia" w:ascii="仿宋_GB2312" w:hAnsi="仿宋_GB2312" w:eastAsia="仿宋_GB2312" w:cs="仿宋_GB2312"/>
                <w:color w:val="auto"/>
                <w:sz w:val="24"/>
                <w:szCs w:val="24"/>
                <w:highlight w:val="none"/>
                <w:lang w:eastAsia="zh-CN"/>
              </w:rPr>
              <w:t>钱向欣</w:t>
            </w:r>
            <w:r>
              <w:rPr>
                <w:rFonts w:hint="eastAsia" w:ascii="仿宋_GB2312" w:hAnsi="仿宋_GB2312" w:eastAsia="仿宋_GB2312" w:cs="仿宋_GB2312"/>
                <w:color w:val="auto"/>
                <w:sz w:val="24"/>
                <w:szCs w:val="24"/>
                <w:highlight w:val="none"/>
              </w:rPr>
              <w:t xml:space="preserve">            技术负责人：</w:t>
            </w:r>
            <w:r>
              <w:rPr>
                <w:rFonts w:hint="eastAsia" w:ascii="仿宋_GB2312" w:hAnsi="仿宋_GB2312" w:eastAsia="仿宋_GB2312" w:cs="仿宋_GB2312"/>
                <w:color w:val="auto"/>
                <w:sz w:val="24"/>
                <w:szCs w:val="24"/>
                <w:highlight w:val="none"/>
                <w:lang w:eastAsia="zh-CN"/>
              </w:rPr>
              <w:t>金向丹</w:t>
            </w:r>
            <w:r>
              <w:rPr>
                <w:rFonts w:hint="eastAsia" w:ascii="仿宋_GB2312" w:hAnsi="仿宋_GB2312" w:eastAsia="仿宋_GB2312" w:cs="仿宋_GB2312"/>
                <w:color w:val="auto"/>
                <w:sz w:val="24"/>
                <w:szCs w:val="24"/>
                <w:highlight w:val="none"/>
              </w:rPr>
              <w:t xml:space="preserve">                  </w:t>
            </w:r>
          </w:p>
          <w:p w14:paraId="5F767E14">
            <w:pPr>
              <w:widowControl w:val="0"/>
              <w:spacing w:line="480" w:lineRule="auto"/>
              <w:jc w:val="both"/>
              <w:rPr>
                <w:rFonts w:hint="default"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kern w:val="2"/>
                <w:sz w:val="24"/>
                <w:szCs w:val="24"/>
                <w:highlight w:val="none"/>
                <w:lang w:val="en-US" w:eastAsia="zh-CN" w:bidi="ar-SA"/>
              </w:rPr>
              <w:t>联系人：杨永跃                   联系电话：</w:t>
            </w:r>
            <w:r>
              <w:rPr>
                <w:rFonts w:hint="eastAsia" w:ascii="仿宋" w:hAnsi="仿宋" w:eastAsia="仿宋"/>
                <w:sz w:val="24"/>
                <w:lang w:val="en-US" w:eastAsia="zh-CN"/>
              </w:rPr>
              <w:t>13736209068</w:t>
            </w:r>
          </w:p>
          <w:p w14:paraId="5BF9C7EC">
            <w:pPr>
              <w:pStyle w:val="13"/>
              <w:rPr>
                <w:rFonts w:hint="eastAsia"/>
                <w:lang w:val="en-US" w:eastAsia="zh-CN"/>
              </w:rPr>
            </w:pPr>
          </w:p>
          <w:p w14:paraId="0D69DE8D">
            <w:pPr>
              <w:pStyle w:val="13"/>
              <w:rPr>
                <w:rFonts w:hint="eastAsia"/>
                <w:lang w:val="en-US" w:eastAsia="zh-CN"/>
              </w:rPr>
            </w:pPr>
          </w:p>
          <w:p w14:paraId="01A057D5">
            <w:pPr>
              <w:pStyle w:val="13"/>
              <w:rPr>
                <w:rFonts w:hint="eastAsia"/>
                <w:lang w:val="en-US" w:eastAsia="zh-CN"/>
              </w:rPr>
            </w:pPr>
          </w:p>
          <w:p w14:paraId="16AA5B78">
            <w:pPr>
              <w:spacing w:line="480" w:lineRule="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项目负责人：</w:t>
            </w:r>
            <w:r>
              <w:rPr>
                <w:rFonts w:hint="eastAsia" w:ascii="仿宋_GB2312" w:hAnsi="仿宋_GB2312" w:eastAsia="仿宋_GB2312" w:cs="仿宋_GB2312"/>
                <w:color w:val="auto"/>
                <w:sz w:val="24"/>
                <w:szCs w:val="24"/>
                <w:highlight w:val="none"/>
                <w:lang w:val="en-US" w:eastAsia="zh-CN"/>
              </w:rPr>
              <w:t xml:space="preserve">                   </w:t>
            </w:r>
            <w:r>
              <w:rPr>
                <w:rFonts w:hint="eastAsia" w:ascii="仿宋_GB2312" w:hAnsi="仿宋_GB2312" w:eastAsia="仿宋_GB2312" w:cs="仿宋_GB2312"/>
                <w:color w:val="auto"/>
                <w:sz w:val="24"/>
                <w:szCs w:val="24"/>
                <w:highlight w:val="none"/>
              </w:rPr>
              <w:t>执业资格（</w:t>
            </w:r>
            <w:r>
              <w:rPr>
                <w:rFonts w:hint="eastAsia" w:ascii="仿宋_GB2312" w:hAnsi="仿宋_GB2312" w:eastAsia="仿宋_GB2312" w:cs="仿宋_GB2312"/>
                <w:color w:val="auto"/>
                <w:sz w:val="24"/>
                <w:szCs w:val="24"/>
                <w:highlight w:val="none"/>
                <w:lang w:eastAsia="zh-CN"/>
              </w:rPr>
              <w:t>签</w:t>
            </w:r>
            <w:r>
              <w:rPr>
                <w:rFonts w:hint="eastAsia" w:ascii="仿宋_GB2312" w:hAnsi="仿宋_GB2312" w:eastAsia="仿宋_GB2312" w:cs="仿宋_GB2312"/>
                <w:color w:val="auto"/>
                <w:sz w:val="24"/>
                <w:szCs w:val="24"/>
                <w:highlight w:val="none"/>
              </w:rPr>
              <w:t>章）：</w:t>
            </w:r>
          </w:p>
          <w:p w14:paraId="52460ABD">
            <w:pPr>
              <w:spacing w:line="480" w:lineRule="auto"/>
              <w:ind w:firstLine="1200" w:firstLineChars="500"/>
              <w:rPr>
                <w:rFonts w:hint="eastAsia" w:ascii="仿宋_GB2312" w:hAnsi="仿宋_GB2312" w:eastAsia="仿宋_GB2312" w:cs="仿宋_GB2312"/>
                <w:color w:val="auto"/>
                <w:sz w:val="24"/>
                <w:szCs w:val="24"/>
                <w:highlight w:val="none"/>
                <w:lang w:val="en-US" w:eastAsia="zh-CN"/>
              </w:rPr>
            </w:pPr>
          </w:p>
          <w:p w14:paraId="4A185718">
            <w:pPr>
              <w:spacing w:line="480" w:lineRule="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编制人</w:t>
            </w:r>
            <w:r>
              <w:rPr>
                <w:rFonts w:hint="eastAsia" w:ascii="仿宋_GB2312" w:hAnsi="仿宋_GB2312" w:eastAsia="仿宋_GB2312" w:cs="仿宋_GB2312"/>
                <w:color w:val="auto"/>
                <w:sz w:val="24"/>
                <w:szCs w:val="24"/>
                <w:highlight w:val="none"/>
              </w:rPr>
              <w:t xml:space="preserve">：       </w:t>
            </w:r>
            <w:r>
              <w:rPr>
                <w:rFonts w:hint="eastAsia" w:ascii="仿宋_GB2312" w:hAnsi="仿宋_GB2312" w:eastAsia="仿宋_GB2312" w:cs="仿宋_GB2312"/>
                <w:color w:val="auto"/>
                <w:sz w:val="24"/>
                <w:szCs w:val="24"/>
                <w:highlight w:val="none"/>
                <w:lang w:val="en-US" w:eastAsia="zh-CN"/>
              </w:rPr>
              <w:t xml:space="preserve">            </w:t>
            </w:r>
            <w:r>
              <w:rPr>
                <w:rFonts w:hint="eastAsia" w:ascii="仿宋_GB2312" w:hAnsi="仿宋_GB2312" w:eastAsia="仿宋_GB2312" w:cs="仿宋_GB2312"/>
                <w:color w:val="auto"/>
                <w:sz w:val="24"/>
                <w:szCs w:val="24"/>
                <w:highlight w:val="none"/>
              </w:rPr>
              <w:t xml:space="preserve">  </w:t>
            </w:r>
            <w:r>
              <w:rPr>
                <w:rFonts w:hint="eastAsia" w:ascii="仿宋_GB2312" w:hAnsi="仿宋_GB2312" w:eastAsia="仿宋_GB2312" w:cs="仿宋_GB2312"/>
                <w:color w:val="auto"/>
                <w:sz w:val="24"/>
                <w:szCs w:val="24"/>
                <w:highlight w:val="none"/>
                <w:lang w:val="en-US" w:eastAsia="zh-CN"/>
              </w:rPr>
              <w:t xml:space="preserve">  </w:t>
            </w:r>
            <w:r>
              <w:rPr>
                <w:rFonts w:hint="eastAsia" w:ascii="仿宋_GB2312" w:hAnsi="仿宋_GB2312" w:eastAsia="仿宋_GB2312" w:cs="仿宋_GB2312"/>
                <w:color w:val="auto"/>
                <w:sz w:val="24"/>
                <w:szCs w:val="24"/>
                <w:highlight w:val="none"/>
              </w:rPr>
              <w:t>执业资格（</w:t>
            </w:r>
            <w:r>
              <w:rPr>
                <w:rFonts w:hint="eastAsia" w:ascii="仿宋_GB2312" w:hAnsi="仿宋_GB2312" w:eastAsia="仿宋_GB2312" w:cs="仿宋_GB2312"/>
                <w:color w:val="auto"/>
                <w:sz w:val="24"/>
                <w:szCs w:val="24"/>
                <w:highlight w:val="none"/>
                <w:lang w:eastAsia="zh-CN"/>
              </w:rPr>
              <w:t>签</w:t>
            </w:r>
            <w:r>
              <w:rPr>
                <w:rFonts w:hint="eastAsia" w:ascii="仿宋_GB2312" w:hAnsi="仿宋_GB2312" w:eastAsia="仿宋_GB2312" w:cs="仿宋_GB2312"/>
                <w:color w:val="auto"/>
                <w:sz w:val="24"/>
                <w:szCs w:val="24"/>
                <w:highlight w:val="none"/>
              </w:rPr>
              <w:t xml:space="preserve">章）：              </w:t>
            </w:r>
          </w:p>
          <w:p w14:paraId="3D7158CD">
            <w:pPr>
              <w:spacing w:line="480" w:lineRule="auto"/>
              <w:ind w:firstLine="1200" w:firstLineChars="500"/>
              <w:rPr>
                <w:rFonts w:hint="eastAsia" w:ascii="仿宋_GB2312" w:hAnsi="仿宋_GB2312" w:eastAsia="仿宋_GB2312" w:cs="仿宋_GB2312"/>
                <w:color w:val="auto"/>
                <w:sz w:val="24"/>
                <w:szCs w:val="24"/>
                <w:highlight w:val="none"/>
              </w:rPr>
            </w:pPr>
          </w:p>
          <w:p w14:paraId="05B95E27">
            <w:pPr>
              <w:spacing w:line="480" w:lineRule="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编制人</w:t>
            </w:r>
            <w:r>
              <w:rPr>
                <w:rFonts w:hint="eastAsia" w:ascii="仿宋_GB2312" w:hAnsi="仿宋_GB2312" w:eastAsia="仿宋_GB2312" w:cs="仿宋_GB2312"/>
                <w:color w:val="auto"/>
                <w:sz w:val="24"/>
                <w:szCs w:val="24"/>
                <w:highlight w:val="none"/>
              </w:rPr>
              <w:t xml:space="preserve">：      </w:t>
            </w:r>
            <w:r>
              <w:rPr>
                <w:rFonts w:hint="eastAsia" w:ascii="仿宋_GB2312" w:hAnsi="仿宋_GB2312" w:eastAsia="仿宋_GB2312" w:cs="仿宋_GB2312"/>
                <w:color w:val="auto"/>
                <w:sz w:val="24"/>
                <w:szCs w:val="24"/>
                <w:highlight w:val="none"/>
                <w:lang w:val="en-US" w:eastAsia="zh-CN"/>
              </w:rPr>
              <w:t xml:space="preserve">                </w:t>
            </w:r>
            <w:r>
              <w:rPr>
                <w:rFonts w:hint="eastAsia" w:ascii="仿宋_GB2312" w:hAnsi="仿宋_GB2312" w:eastAsia="仿宋_GB2312" w:cs="仿宋_GB2312"/>
                <w:color w:val="auto"/>
                <w:sz w:val="24"/>
                <w:szCs w:val="24"/>
                <w:highlight w:val="none"/>
              </w:rPr>
              <w:t xml:space="preserve"> 执业资格（</w:t>
            </w:r>
            <w:r>
              <w:rPr>
                <w:rFonts w:hint="eastAsia" w:ascii="仿宋_GB2312" w:hAnsi="仿宋_GB2312" w:eastAsia="仿宋_GB2312" w:cs="仿宋_GB2312"/>
                <w:color w:val="auto"/>
                <w:sz w:val="24"/>
                <w:szCs w:val="24"/>
                <w:highlight w:val="none"/>
                <w:lang w:eastAsia="zh-CN"/>
              </w:rPr>
              <w:t>签</w:t>
            </w:r>
            <w:r>
              <w:rPr>
                <w:rFonts w:hint="eastAsia" w:ascii="仿宋_GB2312" w:hAnsi="仿宋_GB2312" w:eastAsia="仿宋_GB2312" w:cs="仿宋_GB2312"/>
                <w:color w:val="auto"/>
                <w:sz w:val="24"/>
                <w:szCs w:val="24"/>
                <w:highlight w:val="none"/>
              </w:rPr>
              <w:t xml:space="preserve">章）：         </w:t>
            </w:r>
          </w:p>
          <w:p w14:paraId="75BD070A">
            <w:pPr>
              <w:spacing w:line="480" w:lineRule="auto"/>
              <w:ind w:firstLine="1200" w:firstLineChars="500"/>
              <w:rPr>
                <w:rFonts w:hint="eastAsia" w:ascii="仿宋_GB2312" w:hAnsi="仿宋_GB2312" w:eastAsia="仿宋_GB2312" w:cs="仿宋_GB2312"/>
                <w:color w:val="auto"/>
                <w:sz w:val="24"/>
                <w:szCs w:val="24"/>
                <w:highlight w:val="none"/>
              </w:rPr>
            </w:pPr>
          </w:p>
          <w:p w14:paraId="4F1E3C0A">
            <w:pPr>
              <w:spacing w:line="480" w:lineRule="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审核人</w:t>
            </w:r>
            <w:r>
              <w:rPr>
                <w:rFonts w:hint="eastAsia" w:ascii="仿宋_GB2312" w:hAnsi="仿宋_GB2312" w:eastAsia="仿宋_GB2312" w:cs="仿宋_GB2312"/>
                <w:color w:val="auto"/>
                <w:sz w:val="24"/>
                <w:szCs w:val="24"/>
                <w:highlight w:val="none"/>
              </w:rPr>
              <w:t xml:space="preserve">：      </w:t>
            </w:r>
            <w:r>
              <w:rPr>
                <w:rFonts w:hint="eastAsia" w:ascii="仿宋_GB2312" w:hAnsi="仿宋_GB2312" w:eastAsia="仿宋_GB2312" w:cs="仿宋_GB2312"/>
                <w:color w:val="auto"/>
                <w:sz w:val="24"/>
                <w:szCs w:val="24"/>
                <w:highlight w:val="none"/>
                <w:lang w:val="en-US" w:eastAsia="zh-CN"/>
              </w:rPr>
              <w:t xml:space="preserve">                </w:t>
            </w:r>
            <w:r>
              <w:rPr>
                <w:rFonts w:hint="eastAsia" w:ascii="仿宋_GB2312" w:hAnsi="仿宋_GB2312" w:eastAsia="仿宋_GB2312" w:cs="仿宋_GB2312"/>
                <w:color w:val="auto"/>
                <w:sz w:val="24"/>
                <w:szCs w:val="24"/>
                <w:highlight w:val="none"/>
              </w:rPr>
              <w:t xml:space="preserve"> 执业资格（</w:t>
            </w:r>
            <w:r>
              <w:rPr>
                <w:rFonts w:hint="eastAsia" w:ascii="仿宋_GB2312" w:hAnsi="仿宋_GB2312" w:eastAsia="仿宋_GB2312" w:cs="仿宋_GB2312"/>
                <w:color w:val="auto"/>
                <w:sz w:val="24"/>
                <w:szCs w:val="24"/>
                <w:highlight w:val="none"/>
                <w:lang w:eastAsia="zh-CN"/>
              </w:rPr>
              <w:t>签</w:t>
            </w:r>
            <w:r>
              <w:rPr>
                <w:rFonts w:hint="eastAsia" w:ascii="仿宋_GB2312" w:hAnsi="仿宋_GB2312" w:eastAsia="仿宋_GB2312" w:cs="仿宋_GB2312"/>
                <w:color w:val="auto"/>
                <w:sz w:val="24"/>
                <w:szCs w:val="24"/>
                <w:highlight w:val="none"/>
              </w:rPr>
              <w:t xml:space="preserve">章）：         </w:t>
            </w:r>
          </w:p>
          <w:p w14:paraId="453F650A">
            <w:pPr>
              <w:spacing w:line="480" w:lineRule="auto"/>
              <w:ind w:firstLine="1200" w:firstLineChars="500"/>
              <w:rPr>
                <w:rFonts w:hint="eastAsia" w:ascii="仿宋_GB2312" w:hAnsi="仿宋_GB2312" w:eastAsia="仿宋_GB2312" w:cs="仿宋_GB2312"/>
                <w:color w:val="auto"/>
                <w:sz w:val="24"/>
                <w:szCs w:val="24"/>
                <w:highlight w:val="none"/>
              </w:rPr>
            </w:pPr>
          </w:p>
          <w:p w14:paraId="23523ED0">
            <w:pPr>
              <w:spacing w:line="480" w:lineRule="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24"/>
                <w:szCs w:val="24"/>
                <w:highlight w:val="none"/>
                <w:lang w:eastAsia="zh-CN"/>
              </w:rPr>
              <w:t>审定</w:t>
            </w:r>
            <w:r>
              <w:rPr>
                <w:rFonts w:hint="eastAsia" w:ascii="仿宋_GB2312" w:hAnsi="仿宋_GB2312" w:eastAsia="仿宋_GB2312" w:cs="仿宋_GB2312"/>
                <w:color w:val="auto"/>
                <w:sz w:val="24"/>
                <w:szCs w:val="24"/>
                <w:highlight w:val="none"/>
              </w:rPr>
              <w:t xml:space="preserve">人：       </w:t>
            </w:r>
            <w:r>
              <w:rPr>
                <w:rFonts w:hint="eastAsia" w:ascii="仿宋_GB2312" w:hAnsi="仿宋_GB2312" w:eastAsia="仿宋_GB2312" w:cs="仿宋_GB2312"/>
                <w:color w:val="auto"/>
                <w:sz w:val="24"/>
                <w:szCs w:val="24"/>
                <w:highlight w:val="none"/>
                <w:lang w:val="en-US" w:eastAsia="zh-CN"/>
              </w:rPr>
              <w:t xml:space="preserve">                </w:t>
            </w:r>
            <w:r>
              <w:rPr>
                <w:rFonts w:hint="eastAsia" w:ascii="仿宋_GB2312" w:hAnsi="仿宋_GB2312" w:eastAsia="仿宋_GB2312" w:cs="仿宋_GB2312"/>
                <w:color w:val="auto"/>
                <w:sz w:val="24"/>
                <w:szCs w:val="24"/>
                <w:highlight w:val="none"/>
              </w:rPr>
              <w:t>执业资格（</w:t>
            </w:r>
            <w:r>
              <w:rPr>
                <w:rFonts w:hint="eastAsia" w:ascii="仿宋_GB2312" w:hAnsi="仿宋_GB2312" w:eastAsia="仿宋_GB2312" w:cs="仿宋_GB2312"/>
                <w:color w:val="auto"/>
                <w:sz w:val="24"/>
                <w:szCs w:val="24"/>
                <w:highlight w:val="none"/>
                <w:lang w:eastAsia="zh-CN"/>
              </w:rPr>
              <w:t>签</w:t>
            </w:r>
            <w:r>
              <w:rPr>
                <w:rFonts w:hint="eastAsia" w:ascii="仿宋_GB2312" w:hAnsi="仿宋_GB2312" w:eastAsia="仿宋_GB2312" w:cs="仿宋_GB2312"/>
                <w:color w:val="auto"/>
                <w:sz w:val="24"/>
                <w:szCs w:val="24"/>
                <w:highlight w:val="none"/>
              </w:rPr>
              <w:t>章）：</w:t>
            </w:r>
            <w:r>
              <w:rPr>
                <w:rFonts w:hint="eastAsia" w:ascii="仿宋_GB2312" w:hAnsi="仿宋_GB2312" w:eastAsia="仿宋_GB2312" w:cs="仿宋_GB2312"/>
                <w:color w:val="auto"/>
                <w:sz w:val="32"/>
                <w:szCs w:val="32"/>
                <w:highlight w:val="none"/>
              </w:rPr>
              <w:t xml:space="preserve">     </w:t>
            </w:r>
          </w:p>
          <w:p w14:paraId="73A12711">
            <w:pPr>
              <w:spacing w:line="480" w:lineRule="auto"/>
              <w:ind w:firstLine="1050" w:firstLineChars="500"/>
              <w:rPr>
                <w:rFonts w:hint="eastAsia" w:ascii="宋体" w:hAnsi="宋体" w:eastAsia="宋体" w:cs="Times New Roman"/>
                <w:color w:val="auto"/>
                <w:szCs w:val="21"/>
                <w:highlight w:val="none"/>
              </w:rPr>
            </w:pPr>
          </w:p>
          <w:p w14:paraId="7DC7B839">
            <w:pPr>
              <w:spacing w:line="480" w:lineRule="auto"/>
              <w:ind w:firstLine="1050" w:firstLineChars="500"/>
              <w:rPr>
                <w:rFonts w:hint="eastAsia" w:ascii="宋体" w:hAnsi="宋体" w:eastAsia="宋体" w:cs="Times New Roman"/>
                <w:color w:val="auto"/>
                <w:szCs w:val="21"/>
                <w:highlight w:val="none"/>
              </w:rPr>
            </w:pPr>
          </w:p>
          <w:p w14:paraId="115F9735">
            <w:pPr>
              <w:spacing w:line="480" w:lineRule="auto"/>
              <w:ind w:firstLine="1050" w:firstLineChars="500"/>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 xml:space="preserve">   </w:t>
            </w:r>
          </w:p>
          <w:p w14:paraId="5B88E2D6">
            <w:pPr>
              <w:spacing w:line="480" w:lineRule="auto"/>
              <w:ind w:firstLine="1050" w:firstLineChars="500"/>
              <w:rPr>
                <w:rFonts w:hint="eastAsia" w:ascii="宋体" w:hAnsi="宋体" w:eastAsia="宋体" w:cs="Times New Roman"/>
                <w:color w:val="auto"/>
                <w:szCs w:val="21"/>
                <w:highlight w:val="none"/>
              </w:rPr>
            </w:pPr>
          </w:p>
        </w:tc>
      </w:tr>
    </w:tbl>
    <w:p w14:paraId="4EC904C8">
      <w:pPr>
        <w:rPr>
          <w:rFonts w:hint="eastAsia" w:eastAsia="方正姚体"/>
          <w:b/>
          <w:bCs/>
          <w:spacing w:val="100"/>
          <w:sz w:val="44"/>
          <w:szCs w:val="44"/>
        </w:rPr>
      </w:pPr>
    </w:p>
    <w:p w14:paraId="5014A8EA">
      <w:pPr>
        <w:rPr>
          <w:rFonts w:hint="eastAsia" w:eastAsia="方正姚体"/>
          <w:b/>
          <w:bCs/>
          <w:spacing w:val="100"/>
          <w:sz w:val="44"/>
          <w:szCs w:val="44"/>
        </w:rPr>
      </w:pPr>
    </w:p>
    <w:p w14:paraId="51FB54EF">
      <w:pPr>
        <w:spacing w:line="520" w:lineRule="exact"/>
        <w:ind w:left="0" w:leftChars="0" w:firstLine="417" w:firstLineChars="65"/>
        <w:jc w:val="center"/>
        <w:rPr>
          <w:rFonts w:hint="eastAsia" w:eastAsia="方正姚体"/>
          <w:b/>
          <w:bCs/>
          <w:spacing w:val="100"/>
          <w:sz w:val="44"/>
          <w:szCs w:val="44"/>
        </w:rPr>
      </w:pPr>
      <w:r>
        <w:rPr>
          <w:rFonts w:hint="eastAsia" w:eastAsia="方正姚体"/>
          <w:b/>
          <w:bCs/>
          <w:spacing w:val="100"/>
          <w:sz w:val="44"/>
          <w:szCs w:val="44"/>
        </w:rPr>
        <w:t>浙江宏誉工程咨询有限公司</w:t>
      </w:r>
    </w:p>
    <w:p w14:paraId="3C779FD4">
      <w:pPr>
        <w:spacing w:line="260" w:lineRule="exact"/>
        <w:jc w:val="center"/>
        <w:rPr>
          <w:rFonts w:hint="eastAsia" w:ascii="宋体" w:hAnsi="宋体"/>
          <w:sz w:val="24"/>
        </w:rPr>
      </w:pPr>
    </w:p>
    <w:p w14:paraId="16E53BF3">
      <w:pPr>
        <w:spacing w:line="260" w:lineRule="exact"/>
        <w:jc w:val="center"/>
        <w:rPr>
          <w:rFonts w:hint="eastAsia" w:ascii="方正姚体" w:hAnsi="宋体" w:eastAsia="方正姚体"/>
          <w:sz w:val="18"/>
        </w:rPr>
      </w:pPr>
      <w:r>
        <w:rPr>
          <w:rFonts w:hint="eastAsia" w:ascii="方正姚体" w:hAnsi="宋体" w:eastAsia="方正姚体"/>
          <w:b/>
          <w:bCs/>
          <w:color w:val="FF0000"/>
          <w:sz w:val="24"/>
        </w:rPr>
        <w:t>浙宏（临）预 (2026)001号</w:t>
      </w:r>
    </w:p>
    <w:p w14:paraId="5B834912">
      <w:pPr>
        <w:spacing w:line="260" w:lineRule="exact"/>
        <w:rPr>
          <w:rFonts w:hint="eastAsia" w:ascii="黑体" w:hAnsi="宋体" w:eastAsia="黑体"/>
          <w:b/>
          <w:bCs/>
          <w:sz w:val="30"/>
        </w:rPr>
      </w:pPr>
      <w:r>
        <w:rPr>
          <w:rFonts w:hint="eastAsia" w:ascii="CG Times" w:hAnsi="CG Times"/>
          <w:b/>
          <w:bCs/>
          <w:spacing w:val="-8"/>
          <w:w w:val="66"/>
          <w:sz w:val="36"/>
        </w:rPr>
        <w:t>-------------------------------------------------------------------------------------------------------------------------------</w:t>
      </w:r>
    </w:p>
    <w:p w14:paraId="65909B5E">
      <w:pPr>
        <w:spacing w:line="28" w:lineRule="atLeast"/>
        <w:jc w:val="center"/>
        <w:rPr>
          <w:rFonts w:hint="default" w:ascii="黑体" w:hAnsi="宋体" w:eastAsia="黑体"/>
          <w:b/>
          <w:bCs/>
          <w:sz w:val="30"/>
          <w:lang w:val="en-US" w:eastAsia="zh-CN"/>
        </w:rPr>
      </w:pPr>
      <w:bookmarkStart w:id="0" w:name="OLE_LINK4"/>
      <w:bookmarkStart w:id="1" w:name="OLE_LINK3"/>
      <w:r>
        <w:rPr>
          <w:rFonts w:hint="eastAsia" w:ascii="黑体" w:hAnsi="宋体" w:eastAsia="黑体"/>
          <w:b/>
          <w:bCs/>
          <w:sz w:val="30"/>
          <w:lang w:val="en-US" w:eastAsia="zh-CN"/>
        </w:rPr>
        <w:t>关于临海市古城小学篮球场、卫生间及校门改造工程</w:t>
      </w:r>
    </w:p>
    <w:p w14:paraId="451A38B5">
      <w:pPr>
        <w:spacing w:line="28" w:lineRule="atLeast"/>
        <w:jc w:val="center"/>
        <w:rPr>
          <w:rFonts w:hint="eastAsia" w:ascii="黑体" w:hAnsi="黑体" w:eastAsia="黑体" w:cs="黑体"/>
          <w:b/>
          <w:bCs/>
          <w:sz w:val="24"/>
        </w:rPr>
      </w:pPr>
      <w:r>
        <w:rPr>
          <w:rFonts w:hint="eastAsia" w:ascii="黑体" w:hAnsi="宋体" w:eastAsia="黑体"/>
          <w:b/>
          <w:bCs/>
          <w:sz w:val="30"/>
          <w:lang w:val="en-US" w:eastAsia="zh-CN"/>
        </w:rPr>
        <w:t>预算编制的报告</w:t>
      </w:r>
      <w:bookmarkEnd w:id="0"/>
      <w:bookmarkEnd w:id="1"/>
    </w:p>
    <w:p w14:paraId="56E1EB97">
      <w:pPr>
        <w:keepNext w:val="0"/>
        <w:keepLines w:val="0"/>
        <w:pageBreakBefore w:val="0"/>
        <w:widowControl w:val="0"/>
        <w:kinsoku/>
        <w:wordWrap/>
        <w:overflowPunct/>
        <w:topLinePunct w:val="0"/>
        <w:bidi w:val="0"/>
        <w:snapToGrid/>
        <w:spacing w:line="360" w:lineRule="auto"/>
        <w:jc w:val="left"/>
        <w:textAlignment w:val="auto"/>
        <w:rPr>
          <w:rFonts w:hint="eastAsia" w:ascii="宋体" w:hAnsi="宋体" w:eastAsia="宋体" w:cs="Times New Roman"/>
          <w:b/>
          <w:bCs/>
          <w:sz w:val="24"/>
          <w:szCs w:val="24"/>
          <w:u w:val="none"/>
          <w:lang w:val="en-US" w:eastAsia="zh-CN"/>
        </w:rPr>
      </w:pPr>
      <w:r>
        <w:rPr>
          <w:rFonts w:hint="eastAsia" w:ascii="宋体" w:hAnsi="宋体" w:eastAsia="宋体" w:cs="Times New Roman"/>
          <w:b/>
          <w:bCs/>
          <w:sz w:val="24"/>
          <w:szCs w:val="24"/>
          <w:u w:val="none"/>
          <w:lang w:val="en-US" w:eastAsia="zh-CN"/>
        </w:rPr>
        <w:t>临海市古城小学：</w:t>
      </w:r>
    </w:p>
    <w:p w14:paraId="1BC17C5A">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Times New Roman"/>
          <w:b/>
          <w:bCs/>
          <w:sz w:val="24"/>
          <w:szCs w:val="24"/>
          <w:u w:val="none"/>
        </w:rPr>
      </w:pPr>
      <w:r>
        <w:rPr>
          <w:rFonts w:hint="eastAsia" w:ascii="宋体" w:hAnsi="宋体" w:eastAsia="宋体" w:cs="Times New Roman"/>
          <w:bCs/>
          <w:sz w:val="24"/>
          <w:lang w:eastAsia="zh-CN"/>
        </w:rPr>
        <w:t>我公司接受贵单位委托，编制了</w:t>
      </w:r>
      <w:r>
        <w:rPr>
          <w:rFonts w:hint="eastAsia" w:ascii="宋体" w:hAnsi="宋体" w:eastAsia="宋体" w:cs="Times New Roman"/>
          <w:bCs/>
          <w:sz w:val="24"/>
          <w:lang w:val="en-US" w:eastAsia="zh-CN"/>
        </w:rPr>
        <w:t>临海市古城小学篮球场、卫生间及校门改造工程的</w:t>
      </w:r>
      <w:r>
        <w:rPr>
          <w:rFonts w:hint="eastAsia" w:ascii="宋体" w:hAnsi="宋体" w:eastAsia="宋体" w:cs="Times New Roman"/>
          <w:bCs/>
          <w:sz w:val="24"/>
          <w:lang w:eastAsia="zh-CN"/>
        </w:rPr>
        <w:t>招标控制价。编制所需的资料由贵单位提供，资料的完整性、真实性、合法性由贵单位负责。我们的责任是对该工程的控制价进行编制。我们依据贵单位提供的该工程的施工图纸等资料，并结合相关造价文件规定进行编制。现将编制情况报告如下：</w:t>
      </w:r>
    </w:p>
    <w:p w14:paraId="606C58B4">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Times New Roman"/>
          <w:b/>
          <w:bCs w:val="0"/>
          <w:sz w:val="24"/>
          <w:lang w:val="en-US" w:eastAsia="zh-CN"/>
        </w:rPr>
      </w:pPr>
      <w:r>
        <w:rPr>
          <w:rFonts w:hint="eastAsia" w:ascii="宋体" w:hAnsi="宋体" w:eastAsia="宋体" w:cs="Times New Roman"/>
          <w:b/>
          <w:bCs w:val="0"/>
          <w:sz w:val="24"/>
          <w:lang w:val="en-US" w:eastAsia="zh-CN"/>
        </w:rPr>
        <w:t>一、工程概况</w:t>
      </w:r>
    </w:p>
    <w:p w14:paraId="2428E774">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Times New Roman"/>
          <w:bCs/>
          <w:sz w:val="24"/>
          <w:lang w:val="en-US" w:eastAsia="zh-CN"/>
        </w:rPr>
      </w:pPr>
      <w:r>
        <w:rPr>
          <w:rFonts w:hint="default" w:ascii="宋体" w:hAnsi="宋体" w:eastAsia="宋体" w:cs="Times New Roman"/>
          <w:bCs/>
          <w:sz w:val="24"/>
          <w:lang w:val="en-US" w:eastAsia="zh-CN"/>
        </w:rPr>
        <w:t>1、工程名称：</w:t>
      </w:r>
      <w:r>
        <w:rPr>
          <w:rFonts w:hint="eastAsia" w:ascii="宋体" w:hAnsi="宋体" w:eastAsia="宋体" w:cs="Times New Roman"/>
          <w:bCs/>
          <w:sz w:val="24"/>
          <w:lang w:val="en-US" w:eastAsia="zh-CN"/>
        </w:rPr>
        <w:t>临海市古城小学篮球场、卫生间及校门改造工程；</w:t>
      </w:r>
    </w:p>
    <w:p w14:paraId="5898912D">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Times New Roman"/>
          <w:bCs/>
          <w:sz w:val="24"/>
          <w:lang w:val="en-US" w:eastAsia="zh-CN"/>
        </w:rPr>
      </w:pPr>
      <w:r>
        <w:rPr>
          <w:rFonts w:hint="default" w:ascii="宋体" w:hAnsi="宋体" w:eastAsia="宋体" w:cs="Times New Roman"/>
          <w:bCs/>
          <w:sz w:val="24"/>
          <w:lang w:val="en-US" w:eastAsia="zh-CN"/>
        </w:rPr>
        <w:t>2、建设地点：</w:t>
      </w:r>
      <w:r>
        <w:rPr>
          <w:rFonts w:hint="eastAsia" w:ascii="宋体" w:hAnsi="宋体" w:eastAsiaTheme="minorEastAsia" w:cstheme="minorBidi"/>
          <w:kern w:val="2"/>
          <w:sz w:val="24"/>
          <w:szCs w:val="22"/>
          <w:highlight w:val="none"/>
          <w:lang w:val="en-US" w:eastAsia="zh-CN" w:bidi="ar-SA"/>
        </w:rPr>
        <w:t>临海市古城小学</w:t>
      </w:r>
      <w:r>
        <w:rPr>
          <w:rFonts w:hint="eastAsia" w:ascii="宋体" w:hAnsi="宋体" w:cstheme="minorBidi"/>
          <w:kern w:val="2"/>
          <w:sz w:val="24"/>
          <w:szCs w:val="22"/>
          <w:highlight w:val="none"/>
          <w:lang w:val="en-US" w:eastAsia="zh-CN" w:bidi="ar-SA"/>
        </w:rPr>
        <w:t>；</w:t>
      </w:r>
    </w:p>
    <w:p w14:paraId="07A53ACB">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Times New Roman"/>
          <w:bCs/>
          <w:sz w:val="24"/>
          <w:lang w:val="en-US" w:eastAsia="zh-CN"/>
        </w:rPr>
      </w:pPr>
      <w:r>
        <w:rPr>
          <w:rFonts w:hint="default" w:ascii="宋体" w:hAnsi="宋体" w:eastAsia="宋体" w:cs="Times New Roman"/>
          <w:bCs/>
          <w:sz w:val="24"/>
          <w:lang w:val="en-US" w:eastAsia="zh-CN"/>
        </w:rPr>
        <w:t>3、工程类别：</w:t>
      </w:r>
      <w:r>
        <w:rPr>
          <w:rFonts w:hint="eastAsia" w:ascii="宋体" w:hAnsi="宋体" w:eastAsia="宋体" w:cs="Times New Roman"/>
          <w:bCs/>
          <w:sz w:val="24"/>
          <w:lang w:val="en-US" w:eastAsia="zh-CN"/>
        </w:rPr>
        <w:t>装修、安装、市政；</w:t>
      </w:r>
    </w:p>
    <w:p w14:paraId="3B216935">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Times New Roman"/>
          <w:bCs/>
          <w:sz w:val="24"/>
          <w:lang w:val="en-US" w:eastAsia="zh-CN"/>
        </w:rPr>
      </w:pPr>
      <w:r>
        <w:rPr>
          <w:rFonts w:hint="default" w:ascii="宋体" w:hAnsi="宋体" w:eastAsia="宋体" w:cs="Times New Roman"/>
          <w:bCs/>
          <w:sz w:val="24"/>
          <w:lang w:val="en-US" w:eastAsia="zh-CN"/>
        </w:rPr>
        <w:t>4、设计单位：</w:t>
      </w:r>
      <w:r>
        <w:rPr>
          <w:rFonts w:hint="eastAsia" w:ascii="宋体" w:hAnsi="宋体" w:eastAsia="宋体" w:cs="Times New Roman"/>
          <w:bCs/>
          <w:sz w:val="24"/>
          <w:lang w:val="en-US" w:eastAsia="zh-CN"/>
        </w:rPr>
        <w:t>兴合勘测设计有限公司；</w:t>
      </w:r>
    </w:p>
    <w:p w14:paraId="6E00FDCD">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Times New Roman"/>
          <w:b/>
          <w:bCs w:val="0"/>
          <w:sz w:val="24"/>
          <w:lang w:val="en-US" w:eastAsia="zh-CN"/>
        </w:rPr>
      </w:pPr>
      <w:r>
        <w:rPr>
          <w:rFonts w:hint="eastAsia" w:ascii="宋体" w:hAnsi="宋体" w:eastAsia="宋体" w:cs="Times New Roman"/>
          <w:b/>
          <w:bCs w:val="0"/>
          <w:sz w:val="24"/>
          <w:lang w:val="en-US" w:eastAsia="zh-CN"/>
        </w:rPr>
        <w:t>二、编制依据</w:t>
      </w:r>
    </w:p>
    <w:p w14:paraId="399F1BC1">
      <w:pPr>
        <w:keepNext w:val="0"/>
        <w:keepLines w:val="0"/>
        <w:pageBreakBefore w:val="0"/>
        <w:widowControl w:val="0"/>
        <w:kinsoku/>
        <w:wordWrap/>
        <w:overflowPunct/>
        <w:topLinePunct w:val="0"/>
        <w:bidi w:val="0"/>
        <w:snapToGrid/>
        <w:spacing w:line="360" w:lineRule="auto"/>
        <w:ind w:left="0" w:leftChars="0" w:firstLine="420" w:firstLineChars="175"/>
        <w:jc w:val="left"/>
        <w:textAlignment w:val="auto"/>
        <w:rPr>
          <w:rFonts w:hint="eastAsia" w:ascii="宋体" w:hAnsi="宋体"/>
          <w:sz w:val="24"/>
        </w:rPr>
      </w:pPr>
      <w:r>
        <w:rPr>
          <w:rFonts w:hint="eastAsia" w:ascii="宋体" w:hAnsi="宋体"/>
          <w:sz w:val="24"/>
        </w:rPr>
        <w:t>1、定额依据</w:t>
      </w:r>
    </w:p>
    <w:p w14:paraId="48930B3D">
      <w:pPr>
        <w:keepNext w:val="0"/>
        <w:keepLines w:val="0"/>
        <w:pageBreakBefore w:val="0"/>
        <w:widowControl w:val="0"/>
        <w:kinsoku/>
        <w:wordWrap/>
        <w:overflowPunct/>
        <w:topLinePunct w:val="0"/>
        <w:bidi w:val="0"/>
        <w:snapToGrid/>
        <w:spacing w:line="360" w:lineRule="auto"/>
        <w:ind w:left="0" w:leftChars="0" w:firstLine="420" w:firstLineChars="175"/>
        <w:jc w:val="left"/>
        <w:textAlignment w:val="auto"/>
        <w:rPr>
          <w:rFonts w:hint="eastAsia" w:ascii="宋体" w:hAnsi="宋体" w:eastAsiaTheme="minorEastAsia"/>
          <w:sz w:val="24"/>
          <w:lang w:eastAsia="zh-CN"/>
        </w:rPr>
      </w:pPr>
      <w:r>
        <w:rPr>
          <w:rFonts w:hint="eastAsia" w:ascii="宋体" w:hAnsi="宋体"/>
          <w:sz w:val="24"/>
        </w:rPr>
        <w:t>1）《浙江省房屋建筑与装饰工程预算定额》（2018版）</w:t>
      </w:r>
      <w:r>
        <w:rPr>
          <w:rFonts w:hint="eastAsia" w:ascii="宋体" w:hAnsi="宋体"/>
          <w:sz w:val="24"/>
          <w:lang w:eastAsia="zh-CN"/>
        </w:rPr>
        <w:t>；</w:t>
      </w:r>
    </w:p>
    <w:p w14:paraId="648CCD35">
      <w:pPr>
        <w:keepNext w:val="0"/>
        <w:keepLines w:val="0"/>
        <w:pageBreakBefore w:val="0"/>
        <w:widowControl w:val="0"/>
        <w:kinsoku/>
        <w:wordWrap/>
        <w:overflowPunct/>
        <w:topLinePunct w:val="0"/>
        <w:bidi w:val="0"/>
        <w:snapToGrid/>
        <w:spacing w:line="360" w:lineRule="auto"/>
        <w:ind w:left="0" w:leftChars="0" w:firstLine="420" w:firstLineChars="175"/>
        <w:jc w:val="left"/>
        <w:textAlignment w:val="auto"/>
        <w:rPr>
          <w:rFonts w:hint="eastAsia" w:ascii="宋体" w:hAnsi="宋体" w:eastAsiaTheme="minorEastAsia"/>
          <w:sz w:val="24"/>
          <w:lang w:eastAsia="zh-CN"/>
        </w:rPr>
      </w:pPr>
      <w:r>
        <w:rPr>
          <w:rFonts w:hint="eastAsia" w:ascii="宋体" w:hAnsi="宋体"/>
          <w:sz w:val="24"/>
          <w:lang w:val="en-US" w:eastAsia="zh-CN"/>
        </w:rPr>
        <w:t>2</w:t>
      </w:r>
      <w:r>
        <w:rPr>
          <w:rFonts w:hint="eastAsia" w:ascii="宋体" w:hAnsi="宋体"/>
          <w:sz w:val="24"/>
        </w:rPr>
        <w:t>）《浙江省通用安装工程预算定额》（2018版）</w:t>
      </w:r>
      <w:r>
        <w:rPr>
          <w:rFonts w:hint="eastAsia" w:ascii="宋体" w:hAnsi="宋体"/>
          <w:sz w:val="24"/>
          <w:lang w:eastAsia="zh-CN"/>
        </w:rPr>
        <w:t>；</w:t>
      </w:r>
    </w:p>
    <w:p w14:paraId="6974521B">
      <w:pPr>
        <w:keepNext w:val="0"/>
        <w:keepLines w:val="0"/>
        <w:pageBreakBefore w:val="0"/>
        <w:widowControl w:val="0"/>
        <w:kinsoku/>
        <w:wordWrap/>
        <w:overflowPunct/>
        <w:topLinePunct w:val="0"/>
        <w:bidi w:val="0"/>
        <w:snapToGrid/>
        <w:spacing w:line="360" w:lineRule="auto"/>
        <w:ind w:left="0" w:leftChars="0" w:firstLine="420" w:firstLineChars="175"/>
        <w:jc w:val="left"/>
        <w:textAlignment w:val="auto"/>
        <w:rPr>
          <w:rFonts w:hint="eastAsia" w:ascii="宋体" w:hAnsi="宋体" w:eastAsiaTheme="minorEastAsia"/>
          <w:sz w:val="24"/>
          <w:lang w:val="en-US" w:eastAsia="zh-CN"/>
        </w:rPr>
      </w:pPr>
      <w:r>
        <w:rPr>
          <w:rFonts w:hint="eastAsia" w:ascii="宋体" w:hAnsi="宋体"/>
          <w:sz w:val="24"/>
          <w:lang w:val="en-US" w:eastAsia="zh-CN"/>
        </w:rPr>
        <w:t>3）《浙江省建设工程施工机械台班费用定额》（2018版）；</w:t>
      </w:r>
    </w:p>
    <w:p w14:paraId="39692518">
      <w:pPr>
        <w:keepNext w:val="0"/>
        <w:keepLines w:val="0"/>
        <w:pageBreakBefore w:val="0"/>
        <w:widowControl w:val="0"/>
        <w:kinsoku/>
        <w:wordWrap/>
        <w:overflowPunct/>
        <w:topLinePunct w:val="0"/>
        <w:bidi w:val="0"/>
        <w:snapToGrid/>
        <w:spacing w:line="360" w:lineRule="auto"/>
        <w:ind w:left="0" w:leftChars="0" w:firstLine="420" w:firstLineChars="175"/>
        <w:jc w:val="left"/>
        <w:textAlignment w:val="auto"/>
        <w:rPr>
          <w:rFonts w:hint="default" w:ascii="宋体" w:hAnsi="宋体" w:eastAsiaTheme="minorEastAsia"/>
          <w:sz w:val="24"/>
          <w:lang w:val="en-US" w:eastAsia="zh-CN"/>
        </w:rPr>
      </w:pPr>
      <w:r>
        <w:rPr>
          <w:rFonts w:hint="eastAsia" w:ascii="宋体" w:hAnsi="宋体"/>
          <w:sz w:val="24"/>
          <w:lang w:val="en-US" w:eastAsia="zh-CN"/>
        </w:rPr>
        <w:t>4）《浙江省市政工程预算定额》（2018版）；</w:t>
      </w:r>
    </w:p>
    <w:p w14:paraId="1FB02997">
      <w:pPr>
        <w:keepNext w:val="0"/>
        <w:keepLines w:val="0"/>
        <w:pageBreakBefore w:val="0"/>
        <w:widowControl w:val="0"/>
        <w:kinsoku/>
        <w:wordWrap/>
        <w:overflowPunct/>
        <w:topLinePunct w:val="0"/>
        <w:bidi w:val="0"/>
        <w:snapToGrid/>
        <w:spacing w:line="360" w:lineRule="auto"/>
        <w:ind w:left="0" w:leftChars="0" w:firstLine="420" w:firstLineChars="175"/>
        <w:jc w:val="left"/>
        <w:textAlignment w:val="auto"/>
        <w:rPr>
          <w:rFonts w:hint="eastAsia" w:ascii="宋体" w:hAnsi="宋体" w:eastAsiaTheme="minorEastAsia"/>
          <w:sz w:val="24"/>
          <w:lang w:eastAsia="zh-CN"/>
        </w:rPr>
      </w:pPr>
      <w:r>
        <w:rPr>
          <w:rFonts w:hint="eastAsia" w:ascii="宋体" w:hAnsi="宋体"/>
          <w:sz w:val="24"/>
          <w:lang w:val="en-US" w:eastAsia="zh-CN"/>
        </w:rPr>
        <w:t>5</w:t>
      </w:r>
      <w:r>
        <w:rPr>
          <w:rFonts w:hint="eastAsia" w:ascii="宋体" w:hAnsi="宋体"/>
          <w:sz w:val="24"/>
        </w:rPr>
        <w:t>）《浙江省建设工程计价规则》（2018版）</w:t>
      </w:r>
      <w:r>
        <w:rPr>
          <w:rFonts w:hint="eastAsia" w:ascii="宋体" w:hAnsi="宋体"/>
          <w:sz w:val="24"/>
          <w:lang w:eastAsia="zh-CN"/>
        </w:rPr>
        <w:t>；</w:t>
      </w:r>
    </w:p>
    <w:p w14:paraId="6A0DCA94">
      <w:pPr>
        <w:keepNext w:val="0"/>
        <w:keepLines w:val="0"/>
        <w:pageBreakBefore w:val="0"/>
        <w:widowControl w:val="0"/>
        <w:kinsoku/>
        <w:wordWrap/>
        <w:overflowPunct/>
        <w:topLinePunct w:val="0"/>
        <w:bidi w:val="0"/>
        <w:snapToGrid/>
        <w:spacing w:line="360" w:lineRule="auto"/>
        <w:ind w:left="0" w:leftChars="0" w:firstLine="420" w:firstLineChars="175"/>
        <w:jc w:val="left"/>
        <w:textAlignment w:val="auto"/>
        <w:rPr>
          <w:rFonts w:hint="eastAsia" w:ascii="宋体" w:hAnsi="宋体" w:eastAsiaTheme="minorEastAsia"/>
          <w:sz w:val="24"/>
          <w:lang w:eastAsia="zh-CN"/>
        </w:rPr>
      </w:pPr>
      <w:r>
        <w:rPr>
          <w:rFonts w:hint="eastAsia" w:ascii="宋体" w:hAnsi="宋体"/>
          <w:sz w:val="24"/>
        </w:rPr>
        <w:t>2、</w:t>
      </w:r>
      <w:r>
        <w:rPr>
          <w:rFonts w:hint="eastAsia" w:ascii="宋体" w:hAnsi="宋体"/>
          <w:sz w:val="24"/>
          <w:lang w:val="en-US" w:eastAsia="zh-CN"/>
        </w:rPr>
        <w:t>建设单位提供施工图纸（电子版）及相关资料；</w:t>
      </w:r>
    </w:p>
    <w:p w14:paraId="1A56F691">
      <w:pPr>
        <w:keepNext w:val="0"/>
        <w:keepLines w:val="0"/>
        <w:pageBreakBefore w:val="0"/>
        <w:widowControl w:val="0"/>
        <w:kinsoku/>
        <w:wordWrap/>
        <w:overflowPunct/>
        <w:topLinePunct w:val="0"/>
        <w:bidi w:val="0"/>
        <w:snapToGrid/>
        <w:spacing w:line="360" w:lineRule="auto"/>
        <w:ind w:left="0" w:leftChars="0" w:firstLine="420" w:firstLineChars="175"/>
        <w:jc w:val="left"/>
        <w:textAlignment w:val="auto"/>
        <w:rPr>
          <w:rFonts w:hint="eastAsia" w:ascii="宋体" w:hAnsi="宋体" w:eastAsiaTheme="minorEastAsia"/>
          <w:sz w:val="24"/>
          <w:lang w:eastAsia="zh-CN"/>
        </w:rPr>
      </w:pPr>
      <w:r>
        <w:rPr>
          <w:rFonts w:hint="eastAsia" w:ascii="宋体" w:hAnsi="宋体"/>
          <w:sz w:val="24"/>
        </w:rPr>
        <w:t>3、材料价格</w:t>
      </w:r>
      <w:r>
        <w:rPr>
          <w:rFonts w:hint="eastAsia" w:ascii="宋体" w:hAnsi="宋体"/>
          <w:sz w:val="24"/>
          <w:lang w:eastAsia="zh-CN"/>
        </w:rPr>
        <w:t>：</w:t>
      </w:r>
      <w:r>
        <w:rPr>
          <w:rFonts w:hint="eastAsia" w:ascii="宋体" w:hAnsi="宋体"/>
          <w:sz w:val="24"/>
        </w:rPr>
        <w:t>《台州造价》202</w:t>
      </w:r>
      <w:r>
        <w:rPr>
          <w:rFonts w:hint="eastAsia" w:ascii="宋体" w:hAnsi="宋体"/>
          <w:sz w:val="24"/>
          <w:lang w:val="en-US" w:eastAsia="zh-CN"/>
        </w:rPr>
        <w:t>6</w:t>
      </w:r>
      <w:r>
        <w:rPr>
          <w:rFonts w:hint="eastAsia" w:ascii="宋体" w:hAnsi="宋体"/>
          <w:sz w:val="24"/>
        </w:rPr>
        <w:t>年第</w:t>
      </w:r>
      <w:r>
        <w:rPr>
          <w:rFonts w:hint="eastAsia" w:ascii="宋体" w:hAnsi="宋体"/>
          <w:sz w:val="24"/>
          <w:lang w:val="en-US" w:eastAsia="zh-CN"/>
        </w:rPr>
        <w:t>4</w:t>
      </w:r>
      <w:r>
        <w:rPr>
          <w:rFonts w:hint="eastAsia" w:ascii="宋体" w:hAnsi="宋体"/>
          <w:sz w:val="24"/>
        </w:rPr>
        <w:t>期【除税】</w:t>
      </w:r>
      <w:r>
        <w:rPr>
          <w:rFonts w:hint="eastAsia" w:ascii="宋体" w:hAnsi="宋体"/>
          <w:sz w:val="24"/>
          <w:lang w:val="en-US" w:eastAsia="zh-CN"/>
        </w:rPr>
        <w:t>临海</w:t>
      </w:r>
      <w:r>
        <w:rPr>
          <w:rFonts w:hint="eastAsia" w:ascii="宋体" w:hAnsi="宋体"/>
          <w:sz w:val="24"/>
        </w:rPr>
        <w:t>市信息价</w:t>
      </w:r>
      <w:r>
        <w:rPr>
          <w:rFonts w:hint="eastAsia" w:ascii="宋体" w:hAnsi="宋体"/>
          <w:sz w:val="24"/>
          <w:lang w:val="en-US" w:eastAsia="zh-CN"/>
        </w:rPr>
        <w:t>及市场调查价；</w:t>
      </w:r>
    </w:p>
    <w:p w14:paraId="07919609">
      <w:pPr>
        <w:keepNext w:val="0"/>
        <w:keepLines w:val="0"/>
        <w:pageBreakBefore w:val="0"/>
        <w:widowControl w:val="0"/>
        <w:kinsoku/>
        <w:wordWrap/>
        <w:overflowPunct/>
        <w:topLinePunct w:val="0"/>
        <w:bidi w:val="0"/>
        <w:snapToGrid/>
        <w:spacing w:line="360" w:lineRule="auto"/>
        <w:ind w:left="0" w:leftChars="0" w:firstLine="420" w:firstLineChars="175"/>
        <w:jc w:val="left"/>
        <w:textAlignment w:val="auto"/>
        <w:rPr>
          <w:rFonts w:hint="eastAsia" w:ascii="宋体" w:hAnsi="宋体"/>
          <w:sz w:val="24"/>
          <w:lang w:val="en-US" w:eastAsia="zh-CN"/>
        </w:rPr>
      </w:pPr>
      <w:r>
        <w:rPr>
          <w:rFonts w:hint="eastAsia" w:ascii="宋体" w:hAnsi="宋体"/>
          <w:sz w:val="24"/>
          <w:lang w:val="en-US" w:eastAsia="zh-CN"/>
        </w:rPr>
        <w:t>4、关于增值税调整后我省建设工程计价依据增值税税率及有关计价调整的通知（浙建建发〔2019〕92号）、</w:t>
      </w:r>
      <w:r>
        <w:rPr>
          <w:rFonts w:hint="eastAsia" w:ascii="宋体" w:hAnsi="宋体" w:cstheme="minorBidi"/>
          <w:kern w:val="2"/>
          <w:sz w:val="24"/>
          <w:szCs w:val="22"/>
          <w:lang w:val="en-US" w:eastAsia="zh-CN" w:bidi="ar-SA"/>
        </w:rPr>
        <w:t>关于建筑安装工程安全文明施工费调整的通知</w:t>
      </w:r>
      <w:r>
        <w:rPr>
          <w:rFonts w:hint="eastAsia" w:ascii="宋体" w:hAnsi="宋体"/>
          <w:sz w:val="24"/>
          <w:lang w:val="en-US" w:eastAsia="zh-CN"/>
        </w:rPr>
        <w:t>(</w:t>
      </w:r>
      <w:r>
        <w:rPr>
          <w:rFonts w:hint="eastAsia" w:ascii="宋体" w:hAnsi="宋体" w:cstheme="minorBidi"/>
          <w:kern w:val="2"/>
          <w:sz w:val="24"/>
          <w:szCs w:val="22"/>
          <w:lang w:val="en-US" w:eastAsia="zh-CN" w:bidi="ar-SA"/>
        </w:rPr>
        <w:t>浙建建函</w:t>
      </w:r>
      <w:r>
        <w:rPr>
          <w:rFonts w:hint="eastAsia" w:ascii="宋体" w:hAnsi="宋体"/>
          <w:sz w:val="24"/>
          <w:lang w:val="en-US" w:eastAsia="zh-CN"/>
        </w:rPr>
        <w:t>〔2025〕</w:t>
      </w:r>
      <w:r>
        <w:rPr>
          <w:rFonts w:hint="eastAsia" w:ascii="宋体" w:hAnsi="宋体" w:cstheme="minorBidi"/>
          <w:kern w:val="2"/>
          <w:sz w:val="24"/>
          <w:szCs w:val="22"/>
          <w:lang w:val="en-US" w:eastAsia="zh-CN" w:bidi="ar-SA"/>
        </w:rPr>
        <w:t>-320</w:t>
      </w:r>
      <w:r>
        <w:rPr>
          <w:rFonts w:hint="eastAsia" w:ascii="宋体" w:hAnsi="宋体"/>
          <w:sz w:val="24"/>
          <w:lang w:val="en-US" w:eastAsia="zh-CN"/>
        </w:rPr>
        <w:t>)等浙江省及台州市有关建设工程造价的相关定额解释及文件规定。</w:t>
      </w:r>
    </w:p>
    <w:p w14:paraId="21906E87">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Times New Roman"/>
          <w:b/>
          <w:bCs w:val="0"/>
          <w:sz w:val="24"/>
          <w:lang w:val="en-US" w:eastAsia="zh-CN"/>
        </w:rPr>
      </w:pPr>
      <w:r>
        <w:rPr>
          <w:rFonts w:hint="eastAsia" w:ascii="宋体" w:hAnsi="宋体" w:eastAsia="宋体" w:cs="Times New Roman"/>
          <w:b/>
          <w:bCs w:val="0"/>
          <w:sz w:val="24"/>
          <w:lang w:val="en-US" w:eastAsia="zh-CN"/>
        </w:rPr>
        <w:t>三、编制说明</w:t>
      </w:r>
    </w:p>
    <w:p w14:paraId="508B89AC">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Times New Roman"/>
          <w:b/>
          <w:bCs w:val="0"/>
          <w:sz w:val="24"/>
          <w:lang w:val="en-US" w:eastAsia="zh-CN"/>
        </w:rPr>
      </w:pPr>
      <w:r>
        <w:rPr>
          <w:rFonts w:hint="eastAsia" w:ascii="宋体" w:hAnsi="宋体" w:eastAsia="宋体" w:cs="Times New Roman"/>
          <w:b/>
          <w:bCs w:val="0"/>
          <w:sz w:val="24"/>
          <w:lang w:val="en-US" w:eastAsia="zh-CN"/>
        </w:rPr>
        <w:t>（一）取费说明</w:t>
      </w:r>
    </w:p>
    <w:p w14:paraId="6F7E0366">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Times New Roman"/>
          <w:bCs/>
          <w:sz w:val="24"/>
          <w:lang w:val="en-US" w:eastAsia="zh-CN"/>
        </w:rPr>
      </w:pPr>
      <w:r>
        <w:rPr>
          <w:rFonts w:hint="eastAsia" w:ascii="宋体" w:hAnsi="宋体" w:eastAsia="宋体" w:cs="Times New Roman"/>
          <w:bCs/>
          <w:sz w:val="24"/>
          <w:lang w:val="en-US" w:eastAsia="zh-CN"/>
        </w:rPr>
        <w:t>本工程按各专业工程中值计取（不计标化工地增加费、提前竣工增加费、二次搬运费、优质工程增加费），施工组织措施费（仅计安全文明施工费、冬雨季施工增加费），安全文明施工费按市区一般工程中值计取，一般计税法税金按9%计取。</w:t>
      </w:r>
    </w:p>
    <w:p w14:paraId="2A85A2B5">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Times New Roman"/>
          <w:b/>
          <w:bCs w:val="0"/>
          <w:sz w:val="24"/>
          <w:lang w:val="en-US" w:eastAsia="zh-CN"/>
        </w:rPr>
      </w:pPr>
      <w:r>
        <w:rPr>
          <w:rFonts w:hint="eastAsia" w:ascii="宋体" w:hAnsi="宋体" w:eastAsia="宋体" w:cs="Times New Roman"/>
          <w:b/>
          <w:bCs w:val="0"/>
          <w:sz w:val="24"/>
          <w:lang w:val="en-US" w:eastAsia="zh-CN"/>
        </w:rPr>
        <w:t>（二）施工范围</w:t>
      </w:r>
    </w:p>
    <w:p w14:paraId="5F42CBAE">
      <w:pPr>
        <w:keepNext w:val="0"/>
        <w:keepLines w:val="0"/>
        <w:pageBreakBefore w:val="0"/>
        <w:widowControl w:val="0"/>
        <w:kinsoku/>
        <w:wordWrap/>
        <w:overflowPunct/>
        <w:topLinePunct w:val="0"/>
        <w:bidi w:val="0"/>
        <w:snapToGrid/>
        <w:spacing w:line="360" w:lineRule="auto"/>
        <w:ind w:left="0" w:leftChars="0" w:firstLine="420" w:firstLineChars="175"/>
        <w:jc w:val="left"/>
        <w:textAlignment w:val="auto"/>
        <w:rPr>
          <w:rFonts w:hint="eastAsia" w:ascii="宋体" w:hAnsi="宋体" w:eastAsia="宋体" w:cs="Times New Roman"/>
          <w:sz w:val="24"/>
          <w:szCs w:val="24"/>
          <w:u w:val="none"/>
          <w:lang w:val="en-US" w:eastAsia="zh-CN"/>
        </w:rPr>
      </w:pPr>
      <w:r>
        <w:rPr>
          <w:rFonts w:hint="eastAsia" w:ascii="宋体" w:hAnsi="宋体" w:eastAsia="宋体" w:cs="Times New Roman"/>
          <w:sz w:val="24"/>
          <w:szCs w:val="24"/>
          <w:u w:val="none"/>
        </w:rPr>
        <w:t>本次招标控制价</w:t>
      </w:r>
      <w:r>
        <w:rPr>
          <w:rFonts w:hint="eastAsia" w:ascii="宋体" w:hAnsi="宋体" w:eastAsia="宋体" w:cs="Times New Roman"/>
          <w:sz w:val="24"/>
          <w:szCs w:val="24"/>
          <w:u w:val="none"/>
          <w:lang w:val="en-US" w:eastAsia="zh-CN"/>
        </w:rPr>
        <w:t>编制</w:t>
      </w:r>
      <w:r>
        <w:rPr>
          <w:rFonts w:hint="eastAsia" w:ascii="宋体" w:hAnsi="宋体" w:eastAsia="宋体" w:cs="Times New Roman"/>
          <w:sz w:val="24"/>
          <w:szCs w:val="24"/>
          <w:u w:val="none"/>
        </w:rPr>
        <w:t>范围：</w:t>
      </w:r>
      <w:r>
        <w:rPr>
          <w:rFonts w:hint="eastAsia" w:ascii="宋体" w:hAnsi="宋体" w:eastAsia="宋体" w:cs="Times New Roman"/>
          <w:bCs/>
          <w:sz w:val="24"/>
          <w:lang w:val="en-US" w:eastAsia="zh-CN"/>
        </w:rPr>
        <w:t>临海市古城小学篮球场、卫生间及校门改造工程等</w:t>
      </w:r>
      <w:r>
        <w:rPr>
          <w:rFonts w:hint="eastAsia" w:ascii="宋体" w:hAnsi="宋体" w:eastAsia="宋体" w:cs="Times New Roman"/>
          <w:sz w:val="24"/>
          <w:szCs w:val="24"/>
          <w:u w:val="none"/>
        </w:rPr>
        <w:t>，具体范围详见施工图纸及</w:t>
      </w:r>
      <w:r>
        <w:rPr>
          <w:rFonts w:hint="eastAsia" w:ascii="宋体" w:hAnsi="宋体" w:eastAsia="宋体" w:cs="Times New Roman"/>
          <w:sz w:val="24"/>
          <w:szCs w:val="24"/>
          <w:u w:val="none"/>
          <w:lang w:val="en-US" w:eastAsia="zh-CN"/>
        </w:rPr>
        <w:t>工程预算</w:t>
      </w:r>
      <w:r>
        <w:rPr>
          <w:rFonts w:hint="eastAsia" w:ascii="宋体" w:hAnsi="宋体" w:eastAsia="宋体" w:cs="Times New Roman"/>
          <w:sz w:val="24"/>
          <w:szCs w:val="24"/>
          <w:u w:val="none"/>
        </w:rPr>
        <w:t>内容</w:t>
      </w:r>
      <w:r>
        <w:rPr>
          <w:rFonts w:hint="eastAsia" w:ascii="宋体" w:hAnsi="宋体" w:eastAsia="宋体" w:cs="Times New Roman"/>
          <w:sz w:val="24"/>
          <w:szCs w:val="24"/>
          <w:u w:val="none"/>
          <w:lang w:eastAsia="zh-CN"/>
        </w:rPr>
        <w:t>。</w:t>
      </w:r>
    </w:p>
    <w:p w14:paraId="7FC6751C">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Times New Roman"/>
          <w:b/>
          <w:bCs w:val="0"/>
          <w:sz w:val="24"/>
          <w:lang w:val="en-US" w:eastAsia="zh-CN"/>
        </w:rPr>
      </w:pPr>
      <w:r>
        <w:rPr>
          <w:rFonts w:hint="eastAsia" w:ascii="宋体" w:hAnsi="宋体" w:eastAsia="宋体" w:cs="Times New Roman"/>
          <w:b/>
          <w:bCs w:val="0"/>
          <w:sz w:val="24"/>
          <w:lang w:val="en-US" w:eastAsia="zh-CN"/>
        </w:rPr>
        <w:t>（三）工程质量、材料、施工等的要求</w:t>
      </w:r>
    </w:p>
    <w:p w14:paraId="0A8707E5">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Times New Roman"/>
          <w:bCs/>
          <w:sz w:val="24"/>
          <w:lang w:eastAsia="zh-CN"/>
        </w:rPr>
      </w:pPr>
      <w:r>
        <w:rPr>
          <w:rFonts w:hint="eastAsia" w:ascii="宋体" w:hAnsi="宋体" w:eastAsia="宋体" w:cs="Times New Roman"/>
          <w:bCs/>
          <w:sz w:val="24"/>
          <w:lang w:eastAsia="zh-CN"/>
        </w:rPr>
        <w:t>工程质量、工期详招标文件。</w:t>
      </w:r>
    </w:p>
    <w:p w14:paraId="2311B536">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Times New Roman"/>
          <w:b/>
          <w:bCs w:val="0"/>
          <w:sz w:val="24"/>
          <w:lang w:val="en-US" w:eastAsia="zh-CN"/>
        </w:rPr>
      </w:pPr>
      <w:r>
        <w:rPr>
          <w:rFonts w:hint="eastAsia" w:ascii="宋体" w:hAnsi="宋体" w:eastAsia="宋体" w:cs="Times New Roman"/>
          <w:b/>
          <w:bCs w:val="0"/>
          <w:sz w:val="24"/>
          <w:lang w:val="en-US" w:eastAsia="zh-CN"/>
        </w:rPr>
        <w:t>（四）有关事项说明</w:t>
      </w:r>
    </w:p>
    <w:p w14:paraId="3EA8D668">
      <w:pPr>
        <w:keepNext w:val="0"/>
        <w:keepLines w:val="0"/>
        <w:pageBreakBefore w:val="0"/>
        <w:widowControl w:val="0"/>
        <w:kinsoku/>
        <w:wordWrap/>
        <w:overflowPunct/>
        <w:topLinePunct w:val="0"/>
        <w:bidi w:val="0"/>
        <w:snapToGrid/>
        <w:spacing w:line="360" w:lineRule="auto"/>
        <w:ind w:left="0" w:leftChars="0" w:firstLine="420" w:firstLineChars="175"/>
        <w:jc w:val="left"/>
        <w:textAlignment w:val="auto"/>
        <w:rPr>
          <w:rFonts w:hint="eastAsia" w:ascii="宋体" w:hAnsi="宋体" w:eastAsia="宋体" w:cs="Times New Roman"/>
          <w:sz w:val="24"/>
          <w:szCs w:val="24"/>
          <w:highlight w:val="none"/>
          <w:u w:val="none"/>
          <w:lang w:val="en-US" w:eastAsia="zh-CN"/>
        </w:rPr>
      </w:pPr>
      <w:r>
        <w:rPr>
          <w:rFonts w:hint="eastAsia" w:ascii="宋体" w:hAnsi="宋体" w:eastAsia="宋体" w:cs="Times New Roman"/>
          <w:sz w:val="24"/>
          <w:szCs w:val="24"/>
          <w:highlight w:val="none"/>
          <w:u w:val="none"/>
          <w:lang w:val="en-US" w:eastAsia="zh-CN"/>
        </w:rPr>
        <w:t>1）装修部分</w:t>
      </w:r>
    </w:p>
    <w:p w14:paraId="506F70EB">
      <w:pPr>
        <w:keepNext w:val="0"/>
        <w:keepLines w:val="0"/>
        <w:pageBreakBefore w:val="0"/>
        <w:widowControl w:val="0"/>
        <w:kinsoku/>
        <w:wordWrap/>
        <w:overflowPunct/>
        <w:topLinePunct w:val="0"/>
        <w:bidi w:val="0"/>
        <w:snapToGrid/>
        <w:spacing w:line="360" w:lineRule="auto"/>
        <w:ind w:left="0" w:leftChars="0" w:firstLine="420" w:firstLineChars="175"/>
        <w:jc w:val="left"/>
        <w:textAlignment w:val="auto"/>
        <w:rPr>
          <w:rFonts w:hint="eastAsia" w:ascii="宋体" w:hAnsi="宋体" w:eastAsia="宋体" w:cs="Times New Roman"/>
          <w:sz w:val="24"/>
          <w:szCs w:val="24"/>
          <w:highlight w:val="none"/>
          <w:u w:val="none"/>
          <w:lang w:val="en-US" w:eastAsia="zh-CN"/>
        </w:rPr>
      </w:pPr>
      <w:r>
        <w:rPr>
          <w:rFonts w:hint="eastAsia" w:ascii="宋体" w:hAnsi="宋体" w:eastAsia="宋体" w:cs="Times New Roman"/>
          <w:sz w:val="24"/>
          <w:szCs w:val="24"/>
          <w:highlight w:val="none"/>
          <w:u w:val="none"/>
          <w:lang w:val="en-US" w:eastAsia="zh-CN"/>
        </w:rPr>
        <w:t>1、1.2厚带孔洞不锈钢板小便槽除税完全价按1000元/m计入。</w:t>
      </w:r>
    </w:p>
    <w:p w14:paraId="1F9A7D1C">
      <w:pPr>
        <w:keepNext w:val="0"/>
        <w:keepLines w:val="0"/>
        <w:pageBreakBefore w:val="0"/>
        <w:widowControl w:val="0"/>
        <w:kinsoku/>
        <w:wordWrap/>
        <w:overflowPunct/>
        <w:topLinePunct w:val="0"/>
        <w:bidi w:val="0"/>
        <w:snapToGrid/>
        <w:spacing w:line="360" w:lineRule="auto"/>
        <w:ind w:left="0" w:leftChars="0" w:firstLine="420" w:firstLineChars="175"/>
        <w:jc w:val="left"/>
        <w:textAlignment w:val="auto"/>
        <w:rPr>
          <w:rFonts w:hint="eastAsia" w:ascii="宋体" w:hAnsi="宋体" w:eastAsia="宋体" w:cs="Times New Roman"/>
          <w:sz w:val="24"/>
          <w:szCs w:val="24"/>
          <w:highlight w:val="none"/>
          <w:u w:val="none"/>
          <w:lang w:val="en-US" w:eastAsia="zh-CN"/>
        </w:rPr>
      </w:pPr>
      <w:r>
        <w:rPr>
          <w:rFonts w:hint="eastAsia" w:ascii="宋体" w:hAnsi="宋体" w:eastAsia="宋体" w:cs="Times New Roman"/>
          <w:sz w:val="24"/>
          <w:szCs w:val="24"/>
          <w:highlight w:val="none"/>
          <w:u w:val="none"/>
          <w:lang w:val="en-US" w:eastAsia="zh-CN"/>
        </w:rPr>
        <w:t>2、卫生间 隔断门18厚抗倍特复合蜂窝板1米高304不锈钢配件除税完全价按400元/m2计入。</w:t>
      </w:r>
    </w:p>
    <w:p w14:paraId="1FA8B6EB">
      <w:pPr>
        <w:keepNext w:val="0"/>
        <w:keepLines w:val="0"/>
        <w:pageBreakBefore w:val="0"/>
        <w:widowControl w:val="0"/>
        <w:kinsoku/>
        <w:wordWrap/>
        <w:overflowPunct/>
        <w:topLinePunct w:val="0"/>
        <w:bidi w:val="0"/>
        <w:snapToGrid/>
        <w:spacing w:line="360" w:lineRule="auto"/>
        <w:ind w:left="0" w:leftChars="0" w:firstLine="420" w:firstLineChars="175"/>
        <w:jc w:val="left"/>
        <w:textAlignment w:val="auto"/>
        <w:rPr>
          <w:rFonts w:hint="eastAsia" w:ascii="宋体" w:hAnsi="宋体" w:eastAsia="宋体" w:cs="Times New Roman"/>
          <w:sz w:val="24"/>
          <w:szCs w:val="24"/>
          <w:highlight w:val="none"/>
          <w:u w:val="none"/>
          <w:lang w:val="en-US" w:eastAsia="zh-CN"/>
        </w:rPr>
      </w:pPr>
      <w:r>
        <w:rPr>
          <w:rFonts w:hint="eastAsia" w:ascii="宋体" w:hAnsi="宋体" w:eastAsia="宋体" w:cs="Times New Roman"/>
          <w:sz w:val="24"/>
          <w:szCs w:val="24"/>
          <w:highlight w:val="none"/>
          <w:u w:val="none"/>
          <w:lang w:val="en-US" w:eastAsia="zh-CN"/>
        </w:rPr>
        <w:t>3、垃圾外运除税完全价按90元/m3计入。</w:t>
      </w:r>
    </w:p>
    <w:p w14:paraId="0AEC2487">
      <w:pPr>
        <w:keepNext w:val="0"/>
        <w:keepLines w:val="0"/>
        <w:pageBreakBefore w:val="0"/>
        <w:widowControl w:val="0"/>
        <w:kinsoku/>
        <w:wordWrap/>
        <w:overflowPunct/>
        <w:topLinePunct w:val="0"/>
        <w:bidi w:val="0"/>
        <w:snapToGrid/>
        <w:spacing w:line="360" w:lineRule="auto"/>
        <w:ind w:left="0" w:leftChars="0" w:firstLine="420" w:firstLineChars="175"/>
        <w:jc w:val="left"/>
        <w:textAlignment w:val="auto"/>
        <w:rPr>
          <w:rFonts w:hint="eastAsia" w:ascii="宋体" w:hAnsi="宋体" w:eastAsia="宋体" w:cs="Times New Roman"/>
          <w:sz w:val="24"/>
          <w:szCs w:val="24"/>
          <w:highlight w:val="none"/>
          <w:u w:val="none"/>
          <w:lang w:val="en-US" w:eastAsia="zh-CN"/>
        </w:rPr>
      </w:pPr>
      <w:r>
        <w:rPr>
          <w:rFonts w:hint="eastAsia" w:ascii="宋体" w:hAnsi="宋体" w:eastAsia="宋体" w:cs="Times New Roman"/>
          <w:sz w:val="24"/>
          <w:szCs w:val="24"/>
          <w:highlight w:val="none"/>
          <w:u w:val="none"/>
          <w:lang w:val="en-US" w:eastAsia="zh-CN"/>
        </w:rPr>
        <w:t>4、订制1.2厚304不锈钢大便槽除税完全价按</w:t>
      </w:r>
      <w:bookmarkStart w:id="2" w:name="_GoBack"/>
      <w:bookmarkEnd w:id="2"/>
      <w:r>
        <w:rPr>
          <w:rFonts w:hint="eastAsia" w:ascii="宋体" w:hAnsi="宋体" w:eastAsia="宋体" w:cs="Times New Roman"/>
          <w:sz w:val="24"/>
          <w:szCs w:val="24"/>
          <w:highlight w:val="none"/>
          <w:u w:val="none"/>
          <w:lang w:val="en-US" w:eastAsia="zh-CN"/>
        </w:rPr>
        <w:t>400元/m计入。</w:t>
      </w:r>
    </w:p>
    <w:p w14:paraId="76DECDA5">
      <w:pPr>
        <w:keepNext w:val="0"/>
        <w:keepLines w:val="0"/>
        <w:pageBreakBefore w:val="0"/>
        <w:widowControl w:val="0"/>
        <w:kinsoku/>
        <w:wordWrap/>
        <w:overflowPunct/>
        <w:topLinePunct w:val="0"/>
        <w:bidi w:val="0"/>
        <w:snapToGrid/>
        <w:spacing w:line="360" w:lineRule="auto"/>
        <w:ind w:left="0" w:leftChars="0" w:firstLine="420" w:firstLineChars="175"/>
        <w:jc w:val="left"/>
        <w:textAlignment w:val="auto"/>
        <w:rPr>
          <w:rFonts w:hint="eastAsia" w:ascii="宋体" w:hAnsi="宋体" w:eastAsia="宋体" w:cs="Times New Roman"/>
          <w:sz w:val="24"/>
          <w:szCs w:val="24"/>
          <w:highlight w:val="none"/>
          <w:u w:val="none"/>
          <w:lang w:val="en-US" w:eastAsia="zh-CN"/>
        </w:rPr>
      </w:pPr>
      <w:r>
        <w:rPr>
          <w:rFonts w:hint="eastAsia" w:ascii="宋体" w:hAnsi="宋体" w:eastAsia="宋体" w:cs="Times New Roman"/>
          <w:sz w:val="24"/>
          <w:szCs w:val="24"/>
          <w:highlight w:val="none"/>
          <w:u w:val="none"/>
          <w:lang w:val="en-US" w:eastAsia="zh-CN"/>
        </w:rPr>
        <w:t>5、钢丝3.8,网孔:50x50优质低碳钢丝,编织焊接,外包绿色PE 除税完全价按50元/m2计入。</w:t>
      </w:r>
    </w:p>
    <w:p w14:paraId="774796DD">
      <w:pPr>
        <w:keepNext w:val="0"/>
        <w:keepLines w:val="0"/>
        <w:pageBreakBefore w:val="0"/>
        <w:widowControl w:val="0"/>
        <w:kinsoku/>
        <w:wordWrap/>
        <w:overflowPunct/>
        <w:topLinePunct w:val="0"/>
        <w:bidi w:val="0"/>
        <w:snapToGrid/>
        <w:spacing w:line="360" w:lineRule="auto"/>
        <w:ind w:left="0" w:leftChars="0" w:firstLine="420" w:firstLineChars="175"/>
        <w:jc w:val="left"/>
        <w:textAlignment w:val="auto"/>
        <w:rPr>
          <w:rFonts w:hint="eastAsia" w:ascii="宋体" w:hAnsi="宋体" w:eastAsia="宋体" w:cs="Times New Roman"/>
          <w:sz w:val="24"/>
          <w:szCs w:val="24"/>
          <w:highlight w:val="none"/>
          <w:u w:val="none"/>
          <w:lang w:val="en-US" w:eastAsia="zh-CN"/>
        </w:rPr>
      </w:pPr>
      <w:r>
        <w:rPr>
          <w:rFonts w:hint="eastAsia" w:ascii="宋体" w:hAnsi="宋体" w:eastAsia="宋体" w:cs="Times New Roman"/>
          <w:sz w:val="24"/>
          <w:szCs w:val="24"/>
          <w:highlight w:val="none"/>
          <w:u w:val="none"/>
          <w:lang w:val="en-US" w:eastAsia="zh-CN"/>
        </w:rPr>
        <w:t>6、彩绘(样式甲方定)除税暂定价按150元/m2计入。</w:t>
      </w:r>
    </w:p>
    <w:p w14:paraId="0905E57D">
      <w:pPr>
        <w:keepNext w:val="0"/>
        <w:keepLines w:val="0"/>
        <w:pageBreakBefore w:val="0"/>
        <w:widowControl w:val="0"/>
        <w:kinsoku/>
        <w:wordWrap/>
        <w:overflowPunct/>
        <w:topLinePunct w:val="0"/>
        <w:bidi w:val="0"/>
        <w:snapToGrid/>
        <w:spacing w:line="360" w:lineRule="auto"/>
        <w:ind w:left="0" w:leftChars="0" w:firstLine="420" w:firstLineChars="175"/>
        <w:jc w:val="left"/>
        <w:textAlignment w:val="auto"/>
        <w:rPr>
          <w:rFonts w:hint="eastAsia" w:ascii="宋体" w:hAnsi="宋体" w:eastAsia="宋体" w:cs="Times New Roman"/>
          <w:sz w:val="24"/>
          <w:szCs w:val="24"/>
          <w:highlight w:val="none"/>
          <w:u w:val="none"/>
          <w:lang w:val="en-US" w:eastAsia="zh-CN"/>
        </w:rPr>
      </w:pPr>
      <w:r>
        <w:rPr>
          <w:rFonts w:hint="eastAsia" w:ascii="宋体" w:hAnsi="宋体" w:eastAsia="宋体" w:cs="Times New Roman"/>
          <w:sz w:val="24"/>
          <w:szCs w:val="24"/>
          <w:highlight w:val="none"/>
          <w:u w:val="none"/>
          <w:lang w:val="en-US" w:eastAsia="zh-CN"/>
        </w:rPr>
        <w:t>7、雪弗板广告(样式甲方定)除税暂定价按17000元/项计入。</w:t>
      </w:r>
    </w:p>
    <w:p w14:paraId="7508D126">
      <w:pPr>
        <w:keepNext w:val="0"/>
        <w:keepLines w:val="0"/>
        <w:pageBreakBefore w:val="0"/>
        <w:widowControl w:val="0"/>
        <w:kinsoku/>
        <w:wordWrap/>
        <w:overflowPunct/>
        <w:topLinePunct w:val="0"/>
        <w:bidi w:val="0"/>
        <w:snapToGrid/>
        <w:spacing w:line="360" w:lineRule="auto"/>
        <w:ind w:left="0" w:leftChars="0" w:firstLine="420" w:firstLineChars="175"/>
        <w:jc w:val="left"/>
        <w:textAlignment w:val="auto"/>
        <w:rPr>
          <w:rFonts w:hint="eastAsia" w:ascii="宋体" w:hAnsi="宋体" w:eastAsia="宋体" w:cs="Times New Roman"/>
          <w:sz w:val="24"/>
          <w:szCs w:val="24"/>
          <w:highlight w:val="none"/>
          <w:u w:val="none"/>
          <w:lang w:val="en-US" w:eastAsia="zh-CN"/>
        </w:rPr>
      </w:pPr>
      <w:r>
        <w:rPr>
          <w:rFonts w:hint="eastAsia" w:ascii="宋体" w:hAnsi="宋体" w:eastAsia="宋体" w:cs="Times New Roman"/>
          <w:sz w:val="24"/>
          <w:szCs w:val="24"/>
          <w:highlight w:val="none"/>
          <w:u w:val="none"/>
          <w:lang w:val="en-US" w:eastAsia="zh-CN"/>
        </w:rPr>
        <w:t>2）安装部分</w:t>
      </w:r>
    </w:p>
    <w:p w14:paraId="443D76AC">
      <w:pPr>
        <w:keepNext w:val="0"/>
        <w:keepLines w:val="0"/>
        <w:pageBreakBefore w:val="0"/>
        <w:widowControl w:val="0"/>
        <w:kinsoku/>
        <w:wordWrap/>
        <w:overflowPunct/>
        <w:topLinePunct w:val="0"/>
        <w:bidi w:val="0"/>
        <w:snapToGrid/>
        <w:spacing w:line="360" w:lineRule="auto"/>
        <w:ind w:left="0" w:leftChars="0" w:firstLine="420" w:firstLineChars="175"/>
        <w:jc w:val="left"/>
        <w:textAlignment w:val="auto"/>
        <w:rPr>
          <w:rFonts w:hint="eastAsia" w:ascii="宋体" w:hAnsi="宋体" w:eastAsia="宋体" w:cs="Times New Roman"/>
          <w:sz w:val="24"/>
          <w:szCs w:val="24"/>
          <w:highlight w:val="none"/>
          <w:u w:val="none"/>
          <w:lang w:val="en-US" w:eastAsia="zh-CN"/>
        </w:rPr>
      </w:pPr>
      <w:r>
        <w:rPr>
          <w:rFonts w:hint="eastAsia" w:ascii="宋体" w:hAnsi="宋体" w:eastAsia="宋体" w:cs="Times New Roman"/>
          <w:sz w:val="24"/>
          <w:szCs w:val="24"/>
          <w:highlight w:val="none"/>
          <w:u w:val="none"/>
          <w:lang w:val="en-US" w:eastAsia="zh-CN"/>
        </w:rPr>
        <w:t>8、经设计确认自动冲洗水箱拆除按6个考虑。</w:t>
      </w:r>
    </w:p>
    <w:p w14:paraId="1DCB848D">
      <w:pPr>
        <w:keepNext w:val="0"/>
        <w:keepLines w:val="0"/>
        <w:pageBreakBefore w:val="0"/>
        <w:widowControl w:val="0"/>
        <w:kinsoku/>
        <w:wordWrap/>
        <w:overflowPunct/>
        <w:topLinePunct w:val="0"/>
        <w:bidi w:val="0"/>
        <w:snapToGrid/>
        <w:spacing w:line="360" w:lineRule="auto"/>
        <w:ind w:left="0" w:leftChars="0" w:firstLine="420" w:firstLineChars="175"/>
        <w:jc w:val="left"/>
        <w:textAlignment w:val="auto"/>
        <w:rPr>
          <w:rFonts w:hint="eastAsia" w:ascii="宋体" w:hAnsi="宋体" w:eastAsia="宋体" w:cs="Times New Roman"/>
          <w:sz w:val="24"/>
          <w:szCs w:val="24"/>
          <w:highlight w:val="none"/>
          <w:u w:val="none"/>
          <w:lang w:val="en-US" w:eastAsia="zh-CN"/>
        </w:rPr>
      </w:pPr>
      <w:r>
        <w:rPr>
          <w:rFonts w:hint="eastAsia" w:ascii="宋体" w:hAnsi="宋体" w:eastAsia="宋体" w:cs="Times New Roman"/>
          <w:sz w:val="24"/>
          <w:szCs w:val="24"/>
          <w:highlight w:val="none"/>
          <w:u w:val="none"/>
          <w:lang w:val="en-US" w:eastAsia="zh-CN"/>
        </w:rPr>
        <w:t>9、经设计确认灯具、开关及插座安装按新做考虑。</w:t>
      </w:r>
    </w:p>
    <w:p w14:paraId="67128139">
      <w:pPr>
        <w:keepNext w:val="0"/>
        <w:keepLines w:val="0"/>
        <w:pageBreakBefore w:val="0"/>
        <w:widowControl w:val="0"/>
        <w:kinsoku/>
        <w:wordWrap/>
        <w:overflowPunct/>
        <w:topLinePunct w:val="0"/>
        <w:bidi w:val="0"/>
        <w:snapToGrid/>
        <w:spacing w:line="360" w:lineRule="auto"/>
        <w:ind w:left="0" w:leftChars="0" w:firstLine="420" w:firstLineChars="175"/>
        <w:jc w:val="left"/>
        <w:textAlignment w:val="auto"/>
        <w:rPr>
          <w:rFonts w:hint="eastAsia" w:ascii="宋体" w:hAnsi="宋体" w:eastAsia="宋体" w:cs="Times New Roman"/>
          <w:sz w:val="24"/>
          <w:szCs w:val="24"/>
          <w:highlight w:val="none"/>
          <w:u w:val="none"/>
          <w:lang w:val="en-US" w:eastAsia="zh-CN"/>
        </w:rPr>
      </w:pPr>
      <w:r>
        <w:rPr>
          <w:rFonts w:hint="eastAsia" w:ascii="宋体" w:hAnsi="宋体" w:eastAsia="宋体" w:cs="Times New Roman"/>
          <w:sz w:val="24"/>
          <w:szCs w:val="24"/>
          <w:highlight w:val="none"/>
          <w:u w:val="none"/>
          <w:lang w:val="en-US" w:eastAsia="zh-CN"/>
        </w:rPr>
        <w:t>10、升降柱电缆至配电箱长度暂按10m考虑。</w:t>
      </w:r>
    </w:p>
    <w:p w14:paraId="68C228EF">
      <w:pPr>
        <w:keepNext w:val="0"/>
        <w:keepLines w:val="0"/>
        <w:pageBreakBefore w:val="0"/>
        <w:widowControl w:val="0"/>
        <w:kinsoku/>
        <w:wordWrap/>
        <w:overflowPunct/>
        <w:topLinePunct w:val="0"/>
        <w:bidi w:val="0"/>
        <w:snapToGrid/>
        <w:spacing w:line="360" w:lineRule="auto"/>
        <w:ind w:left="0" w:leftChars="0" w:firstLine="420" w:firstLineChars="175"/>
        <w:jc w:val="left"/>
        <w:textAlignment w:val="auto"/>
        <w:rPr>
          <w:rFonts w:hint="eastAsia" w:ascii="宋体" w:hAnsi="宋体" w:eastAsia="宋体" w:cs="Times New Roman"/>
          <w:sz w:val="24"/>
          <w:szCs w:val="24"/>
          <w:highlight w:val="none"/>
          <w:u w:val="none"/>
          <w:lang w:val="en-US" w:eastAsia="zh-CN"/>
        </w:rPr>
      </w:pPr>
      <w:r>
        <w:rPr>
          <w:rFonts w:hint="eastAsia" w:ascii="宋体" w:hAnsi="宋体" w:eastAsia="宋体" w:cs="Times New Roman"/>
          <w:sz w:val="24"/>
          <w:szCs w:val="24"/>
          <w:highlight w:val="none"/>
          <w:u w:val="none"/>
          <w:lang w:val="en-US" w:eastAsia="zh-CN"/>
        </w:rPr>
        <w:t>11、升降柱配套排水系统(含污水泵、排水控制箱、控水浮球、井盖、排水管等)按除税完全价1275元/套计入。</w:t>
      </w:r>
    </w:p>
    <w:p w14:paraId="53D88127">
      <w:pPr>
        <w:keepNext w:val="0"/>
        <w:keepLines w:val="0"/>
        <w:pageBreakBefore w:val="0"/>
        <w:widowControl w:val="0"/>
        <w:kinsoku/>
        <w:wordWrap/>
        <w:overflowPunct/>
        <w:topLinePunct w:val="0"/>
        <w:bidi w:val="0"/>
        <w:snapToGrid/>
        <w:spacing w:line="360" w:lineRule="auto"/>
        <w:ind w:left="0" w:leftChars="0" w:firstLine="420" w:firstLineChars="175"/>
        <w:jc w:val="left"/>
        <w:textAlignment w:val="auto"/>
        <w:rPr>
          <w:rFonts w:hint="eastAsia" w:ascii="宋体" w:hAnsi="宋体" w:eastAsia="宋体" w:cs="Times New Roman"/>
          <w:sz w:val="24"/>
          <w:szCs w:val="24"/>
          <w:highlight w:val="none"/>
          <w:u w:val="none"/>
          <w:lang w:val="en-US" w:eastAsia="zh-CN"/>
        </w:rPr>
      </w:pPr>
      <w:r>
        <w:rPr>
          <w:rFonts w:hint="eastAsia" w:ascii="宋体" w:hAnsi="宋体" w:eastAsia="宋体" w:cs="Times New Roman"/>
          <w:sz w:val="24"/>
          <w:szCs w:val="24"/>
          <w:highlight w:val="none"/>
          <w:u w:val="none"/>
          <w:lang w:val="en-US" w:eastAsia="zh-CN"/>
        </w:rPr>
        <w:t>3）市政部分</w:t>
      </w:r>
    </w:p>
    <w:p w14:paraId="25244769">
      <w:pPr>
        <w:keepNext w:val="0"/>
        <w:keepLines w:val="0"/>
        <w:pageBreakBefore w:val="0"/>
        <w:widowControl w:val="0"/>
        <w:kinsoku/>
        <w:wordWrap/>
        <w:overflowPunct/>
        <w:topLinePunct w:val="0"/>
        <w:bidi w:val="0"/>
        <w:snapToGrid/>
        <w:spacing w:line="360" w:lineRule="auto"/>
        <w:ind w:left="0" w:leftChars="0" w:firstLine="420" w:firstLineChars="175"/>
        <w:jc w:val="left"/>
        <w:textAlignment w:val="auto"/>
        <w:rPr>
          <w:rFonts w:hint="eastAsia" w:ascii="宋体" w:hAnsi="宋体" w:eastAsia="宋体" w:cs="Times New Roman"/>
          <w:sz w:val="24"/>
          <w:szCs w:val="24"/>
          <w:highlight w:val="none"/>
          <w:u w:val="none"/>
          <w:lang w:val="en-US" w:eastAsia="zh-CN"/>
        </w:rPr>
      </w:pPr>
      <w:r>
        <w:rPr>
          <w:rFonts w:hint="eastAsia" w:ascii="宋体" w:hAnsi="宋体" w:eastAsia="宋体" w:cs="Times New Roman"/>
          <w:sz w:val="24"/>
          <w:szCs w:val="24"/>
          <w:highlight w:val="none"/>
          <w:u w:val="none"/>
          <w:lang w:val="en-US" w:eastAsia="zh-CN"/>
        </w:rPr>
        <w:t>12、经设计确认排水管道部分延伸至主路部分的路面开槽修复暂不考虑。</w:t>
      </w:r>
    </w:p>
    <w:p w14:paraId="5AF68BEA">
      <w:pPr>
        <w:keepNext w:val="0"/>
        <w:keepLines w:val="0"/>
        <w:pageBreakBefore w:val="0"/>
        <w:widowControl w:val="0"/>
        <w:kinsoku/>
        <w:wordWrap/>
        <w:overflowPunct/>
        <w:topLinePunct w:val="0"/>
        <w:bidi w:val="0"/>
        <w:snapToGrid/>
        <w:spacing w:line="360" w:lineRule="auto"/>
        <w:ind w:left="0" w:leftChars="0" w:firstLine="420" w:firstLineChars="175"/>
        <w:jc w:val="left"/>
        <w:textAlignment w:val="auto"/>
        <w:rPr>
          <w:rFonts w:hint="eastAsia" w:ascii="宋体" w:hAnsi="宋体" w:eastAsia="宋体" w:cs="Times New Roman"/>
          <w:sz w:val="24"/>
          <w:szCs w:val="24"/>
          <w:highlight w:val="none"/>
          <w:u w:val="none"/>
          <w:lang w:val="en-US" w:eastAsia="zh-CN"/>
        </w:rPr>
      </w:pPr>
      <w:r>
        <w:rPr>
          <w:rFonts w:hint="eastAsia" w:ascii="宋体" w:hAnsi="宋体" w:eastAsia="宋体" w:cs="Times New Roman"/>
          <w:sz w:val="24"/>
          <w:szCs w:val="24"/>
          <w:highlight w:val="none"/>
          <w:u w:val="none"/>
          <w:lang w:val="en-US" w:eastAsia="zh-CN"/>
        </w:rPr>
        <w:t>13、原硅PU运动地胶面层及基础打磨清运除税完全价按8元/m2计取。</w:t>
      </w:r>
    </w:p>
    <w:p w14:paraId="3730A373">
      <w:pPr>
        <w:keepNext w:val="0"/>
        <w:keepLines w:val="0"/>
        <w:pageBreakBefore w:val="0"/>
        <w:widowControl w:val="0"/>
        <w:kinsoku/>
        <w:wordWrap/>
        <w:overflowPunct/>
        <w:topLinePunct w:val="0"/>
        <w:bidi w:val="0"/>
        <w:snapToGrid/>
        <w:spacing w:line="360" w:lineRule="auto"/>
        <w:ind w:left="0" w:leftChars="0" w:firstLine="420" w:firstLineChars="175"/>
        <w:jc w:val="left"/>
        <w:textAlignment w:val="auto"/>
        <w:rPr>
          <w:rFonts w:hint="eastAsia" w:ascii="宋体" w:hAnsi="宋体" w:eastAsia="宋体" w:cs="Times New Roman"/>
          <w:sz w:val="24"/>
          <w:szCs w:val="24"/>
          <w:highlight w:val="none"/>
          <w:u w:val="none"/>
          <w:lang w:val="en-US" w:eastAsia="zh-CN"/>
        </w:rPr>
      </w:pPr>
      <w:r>
        <w:rPr>
          <w:rFonts w:hint="eastAsia" w:ascii="宋体" w:hAnsi="宋体" w:eastAsia="宋体" w:cs="Times New Roman"/>
          <w:sz w:val="24"/>
          <w:szCs w:val="24"/>
          <w:highlight w:val="none"/>
          <w:u w:val="none"/>
          <w:lang w:val="en-US" w:eastAsia="zh-CN"/>
        </w:rPr>
        <w:t>14、8厚硅PU运动地胶（各色）除税完全价按142元/m2计取。</w:t>
      </w:r>
    </w:p>
    <w:p w14:paraId="03D16D2F">
      <w:pPr>
        <w:keepNext w:val="0"/>
        <w:keepLines w:val="0"/>
        <w:pageBreakBefore w:val="0"/>
        <w:widowControl w:val="0"/>
        <w:kinsoku/>
        <w:wordWrap/>
        <w:overflowPunct/>
        <w:topLinePunct w:val="0"/>
        <w:bidi w:val="0"/>
        <w:snapToGrid/>
        <w:spacing w:line="360" w:lineRule="auto"/>
        <w:ind w:left="0" w:leftChars="0" w:firstLine="420" w:firstLineChars="175"/>
        <w:jc w:val="left"/>
        <w:textAlignment w:val="auto"/>
        <w:rPr>
          <w:rFonts w:hint="eastAsia" w:ascii="宋体" w:hAnsi="宋体" w:eastAsia="宋体" w:cs="Times New Roman"/>
          <w:sz w:val="24"/>
          <w:szCs w:val="24"/>
          <w:highlight w:val="none"/>
          <w:u w:val="none"/>
          <w:lang w:val="en-US" w:eastAsia="zh-CN"/>
        </w:rPr>
      </w:pPr>
      <w:r>
        <w:rPr>
          <w:rFonts w:hint="eastAsia" w:ascii="宋体" w:hAnsi="宋体" w:eastAsia="宋体" w:cs="Times New Roman"/>
          <w:sz w:val="24"/>
          <w:szCs w:val="24"/>
          <w:highlight w:val="none"/>
          <w:u w:val="none"/>
          <w:lang w:val="en-US" w:eastAsia="zh-CN"/>
        </w:rPr>
        <w:t>15、本项目机械进出场费按1台履带式挖掘机1m3以内，0.5台压路机计取。</w:t>
      </w:r>
    </w:p>
    <w:p w14:paraId="016D03B1">
      <w:pPr>
        <w:keepNext w:val="0"/>
        <w:keepLines w:val="0"/>
        <w:pageBreakBefore w:val="0"/>
        <w:widowControl w:val="0"/>
        <w:kinsoku/>
        <w:wordWrap/>
        <w:overflowPunct/>
        <w:topLinePunct w:val="0"/>
        <w:bidi w:val="0"/>
        <w:snapToGrid/>
        <w:spacing w:line="360" w:lineRule="auto"/>
        <w:ind w:left="0" w:leftChars="0" w:firstLine="420" w:firstLineChars="175"/>
        <w:jc w:val="left"/>
        <w:textAlignment w:val="auto"/>
        <w:rPr>
          <w:rFonts w:hint="eastAsia" w:ascii="宋体" w:hAnsi="宋体" w:eastAsia="宋体" w:cs="Times New Roman"/>
          <w:sz w:val="24"/>
          <w:szCs w:val="24"/>
          <w:highlight w:val="none"/>
          <w:u w:val="none"/>
          <w:lang w:val="en-US" w:eastAsia="zh-CN"/>
        </w:rPr>
      </w:pPr>
      <w:r>
        <w:rPr>
          <w:rFonts w:hint="eastAsia" w:ascii="宋体" w:hAnsi="宋体" w:eastAsia="宋体" w:cs="Times New Roman"/>
          <w:sz w:val="24"/>
          <w:szCs w:val="24"/>
          <w:highlight w:val="none"/>
          <w:u w:val="none"/>
          <w:lang w:val="en-US" w:eastAsia="zh-CN"/>
        </w:rPr>
        <w:t>16、商品混凝土及商品砂浆运距按7km考虑，结算按实调整。</w:t>
      </w:r>
    </w:p>
    <w:p w14:paraId="3F4420BD">
      <w:pPr>
        <w:keepNext w:val="0"/>
        <w:keepLines w:val="0"/>
        <w:pageBreakBefore w:val="0"/>
        <w:widowControl w:val="0"/>
        <w:kinsoku/>
        <w:wordWrap/>
        <w:overflowPunct/>
        <w:topLinePunct w:val="0"/>
        <w:bidi w:val="0"/>
        <w:snapToGrid/>
        <w:spacing w:line="360" w:lineRule="auto"/>
        <w:ind w:left="0" w:leftChars="0" w:firstLine="420" w:firstLineChars="175"/>
        <w:jc w:val="left"/>
        <w:textAlignment w:val="auto"/>
        <w:rPr>
          <w:rFonts w:hint="eastAsia" w:ascii="宋体" w:hAnsi="宋体" w:eastAsia="宋体" w:cs="Times New Roman"/>
          <w:sz w:val="24"/>
          <w:szCs w:val="24"/>
          <w:highlight w:val="none"/>
          <w:u w:val="none"/>
          <w:lang w:val="en-US" w:eastAsia="zh-CN"/>
        </w:rPr>
      </w:pPr>
      <w:r>
        <w:rPr>
          <w:rFonts w:hint="eastAsia" w:ascii="宋体" w:hAnsi="宋体" w:eastAsia="宋体" w:cs="Times New Roman"/>
          <w:sz w:val="24"/>
          <w:szCs w:val="24"/>
          <w:highlight w:val="none"/>
          <w:u w:val="none"/>
          <w:lang w:val="en-US" w:eastAsia="zh-CN"/>
        </w:rPr>
        <w:t>17、土方外运按5km考虑，结算按实调整。</w:t>
      </w:r>
    </w:p>
    <w:p w14:paraId="0CB624A1">
      <w:pPr>
        <w:keepNext w:val="0"/>
        <w:keepLines w:val="0"/>
        <w:pageBreakBefore w:val="0"/>
        <w:widowControl w:val="0"/>
        <w:kinsoku/>
        <w:wordWrap/>
        <w:overflowPunct/>
        <w:topLinePunct w:val="0"/>
        <w:bidi w:val="0"/>
        <w:snapToGrid/>
        <w:spacing w:line="360" w:lineRule="auto"/>
        <w:ind w:left="0" w:leftChars="0" w:firstLine="420" w:firstLineChars="175"/>
        <w:jc w:val="left"/>
        <w:textAlignment w:val="auto"/>
        <w:rPr>
          <w:rFonts w:hint="default" w:ascii="宋体" w:hAnsi="宋体" w:eastAsia="宋体" w:cs="Times New Roman"/>
          <w:sz w:val="24"/>
          <w:szCs w:val="24"/>
          <w:highlight w:val="none"/>
          <w:u w:val="none"/>
          <w:lang w:val="en-US" w:eastAsia="zh-CN"/>
        </w:rPr>
      </w:pPr>
      <w:r>
        <w:rPr>
          <w:rFonts w:hint="eastAsia" w:ascii="宋体" w:hAnsi="宋体" w:eastAsia="宋体" w:cs="Times New Roman"/>
          <w:sz w:val="24"/>
          <w:szCs w:val="24"/>
          <w:highlight w:val="none"/>
          <w:u w:val="none"/>
          <w:lang w:val="en-US" w:eastAsia="zh-CN"/>
        </w:rPr>
        <w:t>18、除税完全价、除税暂定价、包括管理费、利润、组织措施费，不包括税金。</w:t>
      </w:r>
    </w:p>
    <w:p w14:paraId="1A615869">
      <w:pPr>
        <w:keepNext w:val="0"/>
        <w:keepLines w:val="0"/>
        <w:pageBreakBefore w:val="0"/>
        <w:widowControl w:val="0"/>
        <w:kinsoku/>
        <w:wordWrap/>
        <w:overflowPunct/>
        <w:topLinePunct w:val="0"/>
        <w:bidi w:val="0"/>
        <w:snapToGrid/>
        <w:spacing w:line="360" w:lineRule="auto"/>
        <w:ind w:left="0" w:leftChars="0" w:firstLine="420" w:firstLineChars="175"/>
        <w:jc w:val="left"/>
        <w:textAlignment w:val="auto"/>
        <w:rPr>
          <w:rFonts w:hint="default" w:ascii="宋体" w:hAnsi="宋体" w:eastAsia="宋体" w:cs="Times New Roman"/>
          <w:sz w:val="24"/>
          <w:szCs w:val="24"/>
          <w:highlight w:val="none"/>
          <w:u w:val="none"/>
          <w:lang w:val="en-US" w:eastAsia="zh-CN"/>
        </w:rPr>
      </w:pPr>
      <w:r>
        <w:rPr>
          <w:rFonts w:hint="eastAsia" w:ascii="宋体" w:hAnsi="宋体" w:eastAsia="宋体" w:cs="Times New Roman"/>
          <w:sz w:val="24"/>
          <w:szCs w:val="24"/>
          <w:highlight w:val="none"/>
          <w:u w:val="none"/>
          <w:lang w:val="en-US" w:eastAsia="zh-CN"/>
        </w:rPr>
        <w:t>19、计价方式：本工程采用定额计价法计价，工程量结算时按实调整。</w:t>
      </w:r>
    </w:p>
    <w:p w14:paraId="31596962">
      <w:pPr>
        <w:keepNext w:val="0"/>
        <w:keepLines w:val="0"/>
        <w:pageBreakBefore w:val="0"/>
        <w:widowControl w:val="0"/>
        <w:kinsoku/>
        <w:wordWrap/>
        <w:overflowPunct/>
        <w:topLinePunct w:val="0"/>
        <w:bidi w:val="0"/>
        <w:snapToGrid/>
        <w:spacing w:line="360" w:lineRule="auto"/>
        <w:ind w:left="0" w:leftChars="0" w:firstLine="420" w:firstLineChars="175"/>
        <w:jc w:val="left"/>
        <w:textAlignment w:val="auto"/>
        <w:rPr>
          <w:rFonts w:hint="eastAsia" w:ascii="宋体" w:hAnsi="宋体" w:eastAsia="宋体" w:cs="Times New Roman"/>
          <w:sz w:val="24"/>
          <w:szCs w:val="24"/>
          <w:highlight w:val="none"/>
          <w:u w:val="none"/>
          <w:lang w:val="en-US" w:eastAsia="zh-CN"/>
        </w:rPr>
      </w:pPr>
      <w:r>
        <w:rPr>
          <w:rFonts w:hint="eastAsia" w:ascii="宋体" w:hAnsi="宋体" w:eastAsia="宋体" w:cs="Times New Roman"/>
          <w:sz w:val="24"/>
          <w:szCs w:val="24"/>
          <w:highlight w:val="none"/>
          <w:u w:val="none"/>
          <w:lang w:val="en-US" w:eastAsia="zh-CN"/>
        </w:rPr>
        <w:t>20、现场情况在投标前由投标单位自行至现场实地考察，后续的一切临时设施费用均包括在合同总价内不额外计取。</w:t>
      </w:r>
    </w:p>
    <w:p w14:paraId="4FDCA919">
      <w:pPr>
        <w:keepNext w:val="0"/>
        <w:keepLines w:val="0"/>
        <w:pageBreakBefore w:val="0"/>
        <w:widowControl w:val="0"/>
        <w:kinsoku/>
        <w:wordWrap/>
        <w:overflowPunct/>
        <w:topLinePunct w:val="0"/>
        <w:bidi w:val="0"/>
        <w:snapToGrid/>
        <w:spacing w:line="360" w:lineRule="auto"/>
        <w:ind w:left="0" w:leftChars="0" w:firstLine="420" w:firstLineChars="175"/>
        <w:jc w:val="left"/>
        <w:textAlignment w:val="auto"/>
        <w:rPr>
          <w:rFonts w:hint="eastAsia" w:ascii="宋体" w:hAnsi="宋体" w:eastAsia="宋体" w:cs="Times New Roman"/>
          <w:sz w:val="24"/>
          <w:szCs w:val="24"/>
          <w:highlight w:val="none"/>
          <w:u w:val="none"/>
          <w:lang w:val="en-US" w:eastAsia="zh-CN"/>
        </w:rPr>
      </w:pPr>
      <w:r>
        <w:rPr>
          <w:rFonts w:hint="eastAsia" w:ascii="宋体" w:hAnsi="宋体" w:eastAsia="宋体" w:cs="Times New Roman"/>
          <w:sz w:val="24"/>
          <w:szCs w:val="24"/>
          <w:highlight w:val="none"/>
          <w:u w:val="none"/>
          <w:lang w:val="en-US" w:eastAsia="zh-CN"/>
        </w:rPr>
        <w:t>21、本预算未考虑风险费用及预留金。</w:t>
      </w:r>
    </w:p>
    <w:p w14:paraId="543EECE0">
      <w:pPr>
        <w:keepNext w:val="0"/>
        <w:keepLines w:val="0"/>
        <w:pageBreakBefore w:val="0"/>
        <w:widowControl w:val="0"/>
        <w:kinsoku/>
        <w:wordWrap/>
        <w:overflowPunct/>
        <w:topLinePunct w:val="0"/>
        <w:bidi w:val="0"/>
        <w:snapToGrid/>
        <w:spacing w:line="360" w:lineRule="auto"/>
        <w:ind w:left="0" w:leftChars="0" w:firstLine="420" w:firstLineChars="175"/>
        <w:jc w:val="left"/>
        <w:textAlignment w:val="auto"/>
        <w:rPr>
          <w:rFonts w:hint="default" w:ascii="宋体" w:hAnsi="宋体" w:eastAsia="宋体" w:cs="Times New Roman"/>
          <w:sz w:val="24"/>
          <w:szCs w:val="24"/>
          <w:highlight w:val="none"/>
          <w:u w:val="none"/>
          <w:lang w:val="en-US" w:eastAsia="zh-CN"/>
        </w:rPr>
      </w:pPr>
      <w:r>
        <w:rPr>
          <w:rFonts w:hint="eastAsia" w:ascii="宋体" w:hAnsi="宋体" w:eastAsia="宋体" w:cs="Times New Roman"/>
          <w:sz w:val="24"/>
          <w:szCs w:val="24"/>
          <w:highlight w:val="none"/>
          <w:u w:val="none"/>
          <w:lang w:val="en-US" w:eastAsia="zh-CN"/>
        </w:rPr>
        <w:t>22、本预算仅供参考，不作为投标报价及结算依据。</w:t>
      </w:r>
    </w:p>
    <w:p w14:paraId="254CBC00">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rPr>
          <w:rFonts w:hint="default" w:ascii="宋体" w:hAnsi="宋体" w:eastAsia="宋体" w:cs="Times New Roman"/>
          <w:b/>
          <w:bCs w:val="0"/>
          <w:sz w:val="24"/>
          <w:highlight w:val="none"/>
          <w:lang w:val="en-US" w:eastAsia="zh-CN"/>
        </w:rPr>
      </w:pPr>
      <w:r>
        <w:rPr>
          <w:rFonts w:hint="eastAsia" w:ascii="宋体" w:hAnsi="宋体" w:eastAsia="宋体" w:cs="Times New Roman"/>
          <w:b/>
          <w:bCs w:val="0"/>
          <w:sz w:val="24"/>
          <w:highlight w:val="none"/>
          <w:lang w:val="en-US" w:eastAsia="zh-CN"/>
        </w:rPr>
        <w:t xml:space="preserve">四、工程预算造价结论  </w:t>
      </w:r>
    </w:p>
    <w:p w14:paraId="4B82E242">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Times New Roman"/>
          <w:b w:val="0"/>
          <w:bCs/>
          <w:sz w:val="24"/>
          <w:highlight w:val="none"/>
          <w:lang w:val="en-US" w:eastAsia="zh-CN"/>
        </w:rPr>
      </w:pPr>
      <w:r>
        <w:rPr>
          <w:rFonts w:hint="eastAsia" w:ascii="宋体" w:hAnsi="宋体" w:eastAsia="宋体" w:cs="Times New Roman"/>
          <w:b w:val="0"/>
          <w:bCs/>
          <w:sz w:val="24"/>
          <w:highlight w:val="none"/>
          <w:lang w:val="en-US" w:eastAsia="zh-CN"/>
        </w:rPr>
        <w:t>本工程预算总造价为：348480元（大写：</w:t>
      </w:r>
      <w:r>
        <w:rPr>
          <w:rFonts w:hint="eastAsia" w:ascii="宋体" w:hAnsi="宋体" w:eastAsia="宋体" w:cs="Times New Roman"/>
          <w:b w:val="0"/>
          <w:bCs/>
          <w:sz w:val="24"/>
          <w:highlight w:val="none"/>
          <w:lang w:val="en-US" w:eastAsia="zh-CN"/>
        </w:rPr>
        <w:fldChar w:fldCharType="begin"/>
      </w:r>
      <w:r>
        <w:rPr>
          <w:rFonts w:hint="eastAsia" w:ascii="宋体" w:hAnsi="宋体" w:eastAsia="宋体" w:cs="Times New Roman"/>
          <w:b w:val="0"/>
          <w:bCs/>
          <w:sz w:val="24"/>
          <w:highlight w:val="none"/>
          <w:lang w:val="en-US" w:eastAsia="zh-CN"/>
        </w:rPr>
        <w:instrText xml:space="preserve"> = 348480 \* CHINESENUM4 \* MERGEFORMAT </w:instrText>
      </w:r>
      <w:r>
        <w:rPr>
          <w:rFonts w:hint="eastAsia" w:ascii="宋体" w:hAnsi="宋体" w:eastAsia="宋体" w:cs="Times New Roman"/>
          <w:b w:val="0"/>
          <w:bCs/>
          <w:sz w:val="24"/>
          <w:highlight w:val="none"/>
          <w:lang w:val="en-US" w:eastAsia="zh-CN"/>
        </w:rPr>
        <w:fldChar w:fldCharType="separate"/>
      </w:r>
      <w:r>
        <w:rPr>
          <w:rFonts w:hint="eastAsia" w:ascii="宋体" w:hAnsi="宋体" w:eastAsia="宋体" w:cs="Times New Roman"/>
          <w:b w:val="0"/>
          <w:bCs/>
          <w:sz w:val="24"/>
          <w:highlight w:val="none"/>
          <w:lang w:val="en-US" w:eastAsia="zh-CN"/>
        </w:rPr>
        <w:t>叁拾肆万捌仟肆佰捌拾元整</w:t>
      </w:r>
      <w:r>
        <w:rPr>
          <w:rFonts w:hint="eastAsia" w:ascii="宋体" w:hAnsi="宋体" w:eastAsia="宋体" w:cs="Times New Roman"/>
          <w:b w:val="0"/>
          <w:bCs/>
          <w:sz w:val="24"/>
          <w:highlight w:val="none"/>
          <w:lang w:val="en-US" w:eastAsia="zh-CN"/>
        </w:rPr>
        <w:fldChar w:fldCharType="end"/>
      </w:r>
      <w:r>
        <w:rPr>
          <w:rFonts w:hint="eastAsia" w:ascii="宋体" w:hAnsi="宋体" w:eastAsia="宋体" w:cs="Times New Roman"/>
          <w:b w:val="0"/>
          <w:bCs/>
          <w:sz w:val="24"/>
          <w:highlight w:val="none"/>
          <w:lang w:val="en-US" w:eastAsia="zh-CN"/>
        </w:rPr>
        <w:t>）。</w:t>
      </w:r>
    </w:p>
    <w:p w14:paraId="150F1838">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rPr>
          <w:rFonts w:hint="default" w:ascii="宋体" w:hAnsi="宋体" w:eastAsia="宋体" w:cs="Times New Roman"/>
          <w:b/>
          <w:bCs w:val="0"/>
          <w:sz w:val="24"/>
          <w:highlight w:val="none"/>
          <w:lang w:val="en-US" w:eastAsia="zh-CN"/>
        </w:rPr>
      </w:pPr>
      <w:r>
        <w:rPr>
          <w:rFonts w:hint="eastAsia" w:ascii="宋体" w:hAnsi="宋体" w:eastAsia="宋体" w:cs="Times New Roman"/>
          <w:b/>
          <w:bCs w:val="0"/>
          <w:sz w:val="24"/>
          <w:highlight w:val="none"/>
          <w:lang w:val="en-US" w:eastAsia="zh-CN"/>
        </w:rPr>
        <w:t xml:space="preserve">五、附件                  </w:t>
      </w:r>
    </w:p>
    <w:p w14:paraId="28F9B98D">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Times New Roman"/>
          <w:b w:val="0"/>
          <w:bCs/>
          <w:sz w:val="24"/>
          <w:highlight w:val="none"/>
          <w:lang w:val="en-US" w:eastAsia="zh-CN"/>
        </w:rPr>
      </w:pPr>
      <w:r>
        <w:rPr>
          <w:rFonts w:hint="eastAsia" w:ascii="宋体" w:hAnsi="宋体" w:eastAsia="宋体" w:cs="Times New Roman"/>
          <w:b w:val="0"/>
          <w:bCs/>
          <w:sz w:val="24"/>
          <w:highlight w:val="none"/>
          <w:lang w:val="en-US" w:eastAsia="zh-CN"/>
        </w:rPr>
        <w:t>1、工程招标控制价明细</w:t>
      </w:r>
    </w:p>
    <w:p w14:paraId="60A26B42">
      <w:pPr>
        <w:keepNext w:val="0"/>
        <w:keepLines w:val="0"/>
        <w:pageBreakBefore w:val="0"/>
        <w:widowControl w:val="0"/>
        <w:kinsoku/>
        <w:wordWrap/>
        <w:overflowPunct/>
        <w:topLinePunct w:val="0"/>
        <w:bidi w:val="0"/>
        <w:adjustRightInd w:val="0"/>
        <w:snapToGrid w:val="0"/>
        <w:spacing w:line="360" w:lineRule="auto"/>
        <w:ind w:right="360"/>
        <w:jc w:val="center"/>
        <w:textAlignment w:val="auto"/>
        <w:outlineLvl w:val="9"/>
        <w:rPr>
          <w:rFonts w:hint="eastAsia" w:ascii="黑体" w:hAnsi="黑体" w:eastAsia="黑体" w:cs="黑体"/>
          <w:b/>
          <w:bCs/>
          <w:sz w:val="24"/>
          <w:szCs w:val="24"/>
          <w:lang w:val="en-US" w:eastAsia="zh-CN"/>
        </w:rPr>
      </w:pPr>
      <w:r>
        <w:rPr>
          <w:rFonts w:hint="eastAsia" w:ascii="黑体" w:hAnsi="黑体" w:eastAsia="黑体" w:cs="黑体"/>
          <w:b/>
          <w:bCs/>
          <w:sz w:val="24"/>
          <w:szCs w:val="24"/>
          <w:lang w:val="en-US" w:eastAsia="zh-CN"/>
        </w:rPr>
        <w:t xml:space="preserve">     </w:t>
      </w:r>
    </w:p>
    <w:p w14:paraId="7DFE2BF0">
      <w:pPr>
        <w:keepNext w:val="0"/>
        <w:keepLines w:val="0"/>
        <w:pageBreakBefore w:val="0"/>
        <w:widowControl w:val="0"/>
        <w:kinsoku/>
        <w:wordWrap/>
        <w:overflowPunct/>
        <w:topLinePunct w:val="0"/>
        <w:bidi w:val="0"/>
        <w:adjustRightInd w:val="0"/>
        <w:snapToGrid w:val="0"/>
        <w:spacing w:line="360" w:lineRule="auto"/>
        <w:ind w:right="360"/>
        <w:jc w:val="center"/>
        <w:textAlignment w:val="auto"/>
        <w:outlineLvl w:val="9"/>
        <w:rPr>
          <w:rFonts w:hint="eastAsia" w:ascii="黑体" w:hAnsi="黑体" w:eastAsia="黑体" w:cs="黑体"/>
          <w:b/>
          <w:bCs/>
          <w:sz w:val="24"/>
          <w:szCs w:val="24"/>
          <w:lang w:val="en-US" w:eastAsia="zh-CN"/>
        </w:rPr>
      </w:pPr>
    </w:p>
    <w:p w14:paraId="0F30C7AC">
      <w:pPr>
        <w:keepNext w:val="0"/>
        <w:keepLines w:val="0"/>
        <w:pageBreakBefore w:val="0"/>
        <w:widowControl w:val="0"/>
        <w:kinsoku/>
        <w:wordWrap/>
        <w:overflowPunct/>
        <w:topLinePunct w:val="0"/>
        <w:bidi w:val="0"/>
        <w:adjustRightInd w:val="0"/>
        <w:snapToGrid w:val="0"/>
        <w:spacing w:line="360" w:lineRule="auto"/>
        <w:ind w:right="360"/>
        <w:jc w:val="both"/>
        <w:textAlignment w:val="auto"/>
        <w:outlineLvl w:val="9"/>
        <w:rPr>
          <w:rFonts w:hint="eastAsia" w:ascii="黑体" w:hAnsi="黑体" w:eastAsia="黑体" w:cs="黑体"/>
          <w:b/>
          <w:bCs/>
          <w:sz w:val="24"/>
          <w:szCs w:val="24"/>
          <w:lang w:val="en-US" w:eastAsia="zh-CN"/>
        </w:rPr>
      </w:pPr>
    </w:p>
    <w:p w14:paraId="4AE5B9C6">
      <w:pPr>
        <w:keepNext w:val="0"/>
        <w:keepLines w:val="0"/>
        <w:pageBreakBefore w:val="0"/>
        <w:widowControl w:val="0"/>
        <w:kinsoku/>
        <w:wordWrap/>
        <w:overflowPunct/>
        <w:topLinePunct w:val="0"/>
        <w:bidi w:val="0"/>
        <w:adjustRightInd w:val="0"/>
        <w:snapToGrid w:val="0"/>
        <w:spacing w:line="360" w:lineRule="auto"/>
        <w:ind w:right="360"/>
        <w:jc w:val="both"/>
        <w:textAlignment w:val="auto"/>
        <w:outlineLvl w:val="9"/>
        <w:rPr>
          <w:rFonts w:hint="eastAsia" w:ascii="黑体" w:hAnsi="黑体" w:eastAsia="黑体" w:cs="黑体"/>
          <w:b/>
          <w:bCs/>
          <w:sz w:val="24"/>
          <w:szCs w:val="24"/>
          <w:lang w:val="en-US" w:eastAsia="zh-CN"/>
        </w:rPr>
      </w:pPr>
    </w:p>
    <w:p w14:paraId="42E9E131">
      <w:pPr>
        <w:keepNext w:val="0"/>
        <w:keepLines w:val="0"/>
        <w:pageBreakBefore w:val="0"/>
        <w:widowControl w:val="0"/>
        <w:kinsoku/>
        <w:wordWrap/>
        <w:overflowPunct/>
        <w:topLinePunct w:val="0"/>
        <w:bidi w:val="0"/>
        <w:adjustRightInd w:val="0"/>
        <w:snapToGrid w:val="0"/>
        <w:spacing w:line="360" w:lineRule="auto"/>
        <w:ind w:right="360"/>
        <w:jc w:val="center"/>
        <w:textAlignment w:val="auto"/>
        <w:outlineLvl w:val="9"/>
        <w:rPr>
          <w:rFonts w:hint="eastAsia" w:ascii="黑体" w:hAnsi="黑体" w:eastAsia="黑体" w:cs="黑体"/>
          <w:b/>
          <w:bCs/>
          <w:sz w:val="24"/>
          <w:szCs w:val="24"/>
          <w:lang w:val="en-US" w:eastAsia="zh-CN"/>
        </w:rPr>
      </w:pPr>
    </w:p>
    <w:p w14:paraId="2C2ABC90">
      <w:pPr>
        <w:keepNext w:val="0"/>
        <w:keepLines w:val="0"/>
        <w:pageBreakBefore w:val="0"/>
        <w:widowControl w:val="0"/>
        <w:kinsoku/>
        <w:wordWrap/>
        <w:overflowPunct/>
        <w:topLinePunct w:val="0"/>
        <w:bidi w:val="0"/>
        <w:adjustRightInd w:val="0"/>
        <w:snapToGrid w:val="0"/>
        <w:spacing w:line="360" w:lineRule="auto"/>
        <w:ind w:right="360"/>
        <w:jc w:val="both"/>
        <w:textAlignment w:val="auto"/>
        <w:outlineLvl w:val="9"/>
        <w:rPr>
          <w:rFonts w:hint="eastAsia" w:ascii="黑体" w:hAnsi="黑体" w:eastAsia="黑体" w:cs="黑体"/>
          <w:b/>
          <w:bCs/>
          <w:sz w:val="24"/>
          <w:szCs w:val="24"/>
          <w:lang w:val="en-US" w:eastAsia="zh-CN"/>
        </w:rPr>
      </w:pPr>
    </w:p>
    <w:p w14:paraId="2A3C0CFC">
      <w:pPr>
        <w:keepNext w:val="0"/>
        <w:keepLines w:val="0"/>
        <w:pageBreakBefore w:val="0"/>
        <w:widowControl w:val="0"/>
        <w:kinsoku/>
        <w:wordWrap/>
        <w:overflowPunct/>
        <w:topLinePunct w:val="0"/>
        <w:bidi w:val="0"/>
        <w:adjustRightInd w:val="0"/>
        <w:snapToGrid w:val="0"/>
        <w:spacing w:line="360" w:lineRule="auto"/>
        <w:ind w:right="360"/>
        <w:jc w:val="center"/>
        <w:textAlignment w:val="auto"/>
        <w:outlineLvl w:val="9"/>
        <w:rPr>
          <w:rFonts w:hint="eastAsia" w:ascii="黑体" w:hAnsi="黑体" w:eastAsia="黑体" w:cs="黑体"/>
          <w:b/>
          <w:bCs/>
          <w:sz w:val="24"/>
          <w:szCs w:val="24"/>
          <w:lang w:val="en-US" w:eastAsia="zh-CN"/>
        </w:rPr>
      </w:pPr>
      <w:r>
        <w:rPr>
          <w:rFonts w:hint="eastAsia" w:ascii="黑体" w:hAnsi="黑体" w:eastAsia="黑体" w:cs="黑体"/>
          <w:b/>
          <w:bCs/>
          <w:sz w:val="24"/>
          <w:szCs w:val="24"/>
          <w:lang w:val="en-US" w:eastAsia="zh-CN"/>
        </w:rPr>
        <w:t xml:space="preserve">                                         </w:t>
      </w:r>
    </w:p>
    <w:p w14:paraId="745818ED">
      <w:pPr>
        <w:keepNext w:val="0"/>
        <w:keepLines w:val="0"/>
        <w:pageBreakBefore w:val="0"/>
        <w:widowControl w:val="0"/>
        <w:kinsoku/>
        <w:wordWrap/>
        <w:overflowPunct/>
        <w:topLinePunct w:val="0"/>
        <w:bidi w:val="0"/>
        <w:adjustRightInd w:val="0"/>
        <w:snapToGrid w:val="0"/>
        <w:spacing w:line="360" w:lineRule="auto"/>
        <w:ind w:right="360"/>
        <w:jc w:val="center"/>
        <w:textAlignment w:val="auto"/>
        <w:outlineLvl w:val="9"/>
        <w:rPr>
          <w:rFonts w:hint="eastAsia" w:ascii="黑体" w:hAnsi="黑体" w:eastAsia="黑体" w:cs="黑体"/>
          <w:b/>
          <w:bCs/>
          <w:sz w:val="24"/>
          <w:szCs w:val="24"/>
        </w:rPr>
      </w:pPr>
      <w:r>
        <w:rPr>
          <w:rFonts w:hint="eastAsia" w:ascii="黑体" w:hAnsi="黑体" w:eastAsia="黑体" w:cs="黑体"/>
          <w:b/>
          <w:bCs/>
          <w:sz w:val="24"/>
          <w:szCs w:val="24"/>
          <w:lang w:val="en-US" w:eastAsia="zh-CN"/>
        </w:rPr>
        <w:t xml:space="preserve">                                          </w:t>
      </w:r>
      <w:r>
        <w:rPr>
          <w:rFonts w:hint="eastAsia" w:ascii="黑体" w:hAnsi="黑体" w:eastAsia="黑体" w:cs="黑体"/>
          <w:b/>
          <w:bCs/>
          <w:sz w:val="24"/>
          <w:szCs w:val="24"/>
        </w:rPr>
        <w:t>浙江宏誉工程咨询有限公司</w:t>
      </w:r>
    </w:p>
    <w:p w14:paraId="5FF1344B">
      <w:pPr>
        <w:keepNext w:val="0"/>
        <w:keepLines w:val="0"/>
        <w:pageBreakBefore w:val="0"/>
        <w:widowControl w:val="0"/>
        <w:kinsoku/>
        <w:wordWrap/>
        <w:overflowPunct/>
        <w:topLinePunct w:val="0"/>
        <w:bidi w:val="0"/>
        <w:adjustRightInd w:val="0"/>
        <w:snapToGrid w:val="0"/>
        <w:spacing w:line="360" w:lineRule="auto"/>
        <w:ind w:right="480"/>
        <w:jc w:val="center"/>
        <w:textAlignment w:val="auto"/>
        <w:outlineLvl w:val="9"/>
      </w:pPr>
      <w:r>
        <w:rPr>
          <w:rFonts w:hint="eastAsia" w:ascii="黑体" w:hAnsi="黑体" w:eastAsia="黑体" w:cs="黑体"/>
          <w:b/>
          <w:bCs/>
          <w:sz w:val="24"/>
          <w:szCs w:val="24"/>
          <w:lang w:val="en-US" w:eastAsia="zh-CN"/>
        </w:rPr>
        <w:t xml:space="preserve">                                             </w:t>
      </w:r>
      <w:r>
        <w:rPr>
          <w:rFonts w:hint="eastAsia" w:ascii="黑体" w:eastAsia="黑体"/>
          <w:b/>
          <w:bCs/>
          <w:sz w:val="24"/>
        </w:rPr>
        <w:t>二零</w:t>
      </w:r>
      <w:r>
        <w:rPr>
          <w:rFonts w:hint="eastAsia" w:ascii="黑体" w:eastAsia="黑体"/>
          <w:b/>
          <w:bCs/>
          <w:sz w:val="24"/>
          <w:lang w:val="en-US" w:eastAsia="zh-CN"/>
        </w:rPr>
        <w:t>二六</w:t>
      </w:r>
      <w:r>
        <w:rPr>
          <w:rFonts w:hint="eastAsia" w:ascii="黑体" w:eastAsia="黑体"/>
          <w:b/>
          <w:bCs/>
          <w:sz w:val="24"/>
        </w:rPr>
        <w:t>年</w:t>
      </w:r>
      <w:r>
        <w:rPr>
          <w:rFonts w:hint="eastAsia" w:ascii="黑体" w:eastAsia="黑体"/>
          <w:b/>
          <w:bCs/>
          <w:sz w:val="24"/>
          <w:lang w:val="en-US" w:eastAsia="zh-CN"/>
        </w:rPr>
        <w:t>六</w:t>
      </w:r>
      <w:r>
        <w:rPr>
          <w:rFonts w:hint="eastAsia" w:ascii="黑体" w:eastAsia="黑体"/>
          <w:b/>
          <w:bCs/>
          <w:sz w:val="24"/>
        </w:rPr>
        <w:t>月</w:t>
      </w:r>
      <w:r>
        <w:rPr>
          <w:rFonts w:hint="eastAsia" w:ascii="黑体" w:eastAsia="黑体"/>
          <w:b/>
          <w:bCs/>
          <w:sz w:val="24"/>
          <w:lang w:val="en-US" w:eastAsia="zh-CN"/>
        </w:rPr>
        <w:t>十</w:t>
      </w:r>
      <w:r>
        <w:rPr>
          <w:rFonts w:hint="eastAsia" w:ascii="黑体" w:eastAsia="黑体"/>
          <w:b/>
          <w:bCs/>
          <w:sz w:val="24"/>
        </w:rPr>
        <w:t>日</w:t>
      </w:r>
    </w:p>
    <w:tbl>
      <w:tblPr>
        <w:tblStyle w:val="14"/>
        <w:tblpPr w:leftFromText="181" w:rightFromText="181" w:topFromText="1134" w:horzAnchor="page" w:tblpX="1588" w:tblpYSpec="bottom"/>
        <w:tblOverlap w:val="never"/>
        <w:tblW w:w="0" w:type="auto"/>
        <w:tblInd w:w="0" w:type="dxa"/>
        <w:tblLayout w:type="autofit"/>
        <w:tblCellMar>
          <w:top w:w="0" w:type="dxa"/>
          <w:left w:w="108" w:type="dxa"/>
          <w:bottom w:w="0" w:type="dxa"/>
          <w:right w:w="108" w:type="dxa"/>
        </w:tblCellMar>
      </w:tblPr>
      <w:tblGrid>
        <w:gridCol w:w="9060"/>
      </w:tblGrid>
      <w:tr w14:paraId="23B7E69E">
        <w:tblPrEx>
          <w:tblCellMar>
            <w:top w:w="0" w:type="dxa"/>
            <w:left w:w="108" w:type="dxa"/>
            <w:bottom w:w="0" w:type="dxa"/>
            <w:right w:w="108" w:type="dxa"/>
          </w:tblCellMar>
        </w:tblPrEx>
        <w:tc>
          <w:tcPr>
            <w:tcW w:w="9060" w:type="dxa"/>
          </w:tcPr>
          <w:p w14:paraId="3E7D0438">
            <w:pPr>
              <w:spacing w:line="340" w:lineRule="exact"/>
              <w:rPr>
                <w:rFonts w:ascii="仿宋" w:hAnsi="仿宋" w:eastAsia="仿宋" w:cs="仿宋"/>
                <w:b/>
                <w:bCs/>
                <w:sz w:val="24"/>
                <w:u w:val="single"/>
              </w:rPr>
            </w:pPr>
            <w:r>
              <w:rPr>
                <w:rFonts w:hint="eastAsia" w:ascii="仿宋" w:hAnsi="仿宋" w:eastAsia="仿宋" w:cs="仿宋"/>
                <w:b/>
                <w:bCs/>
                <w:sz w:val="24"/>
                <w:u w:val="single"/>
              </w:rPr>
              <w:t xml:space="preserve">主题词：工程  预算  </w:t>
            </w:r>
            <w:r>
              <w:rPr>
                <w:rFonts w:hint="eastAsia" w:ascii="仿宋" w:hAnsi="仿宋" w:eastAsia="仿宋" w:cs="仿宋"/>
                <w:b/>
                <w:bCs/>
                <w:sz w:val="24"/>
                <w:u w:val="single"/>
                <w:lang w:val="en-US" w:eastAsia="zh-CN"/>
              </w:rPr>
              <w:t>编制</w:t>
            </w:r>
            <w:r>
              <w:rPr>
                <w:rFonts w:hint="eastAsia" w:ascii="仿宋" w:hAnsi="仿宋" w:eastAsia="仿宋" w:cs="仿宋"/>
                <w:b/>
                <w:bCs/>
                <w:sz w:val="24"/>
                <w:u w:val="single"/>
              </w:rPr>
              <w:t xml:space="preserve">                                                               </w:t>
            </w:r>
          </w:p>
          <w:p w14:paraId="0C125F0C">
            <w:pPr>
              <w:spacing w:line="340" w:lineRule="exact"/>
              <w:rPr>
                <w:rFonts w:ascii="仿宋" w:hAnsi="仿宋" w:eastAsia="仿宋" w:cs="仿宋"/>
                <w:b/>
                <w:bCs/>
                <w:sz w:val="24"/>
                <w:u w:val="single"/>
              </w:rPr>
            </w:pPr>
            <w:r>
              <w:rPr>
                <w:rFonts w:hint="eastAsia" w:ascii="仿宋" w:hAnsi="仿宋" w:eastAsia="仿宋" w:cs="仿宋"/>
                <w:b/>
                <w:bCs/>
                <w:sz w:val="24"/>
                <w:u w:val="single"/>
              </w:rPr>
              <w:t>主  送：</w:t>
            </w:r>
            <w:r>
              <w:rPr>
                <w:rFonts w:hint="eastAsia" w:ascii="仿宋" w:hAnsi="仿宋" w:eastAsia="仿宋" w:cs="仿宋"/>
                <w:b/>
                <w:bCs/>
                <w:sz w:val="24"/>
                <w:u w:val="single"/>
                <w:lang w:eastAsia="zh-CN"/>
              </w:rPr>
              <w:t>临海市古城小学</w:t>
            </w:r>
            <w:r>
              <w:rPr>
                <w:rFonts w:hint="eastAsia" w:ascii="仿宋" w:hAnsi="仿宋" w:eastAsia="仿宋" w:cs="仿宋"/>
                <w:b/>
                <w:bCs/>
                <w:sz w:val="24"/>
                <w:u w:val="single"/>
              </w:rPr>
              <w:t xml:space="preserve">                            </w:t>
            </w:r>
            <w:r>
              <w:rPr>
                <w:rFonts w:ascii="仿宋" w:hAnsi="仿宋" w:eastAsia="仿宋" w:cs="仿宋"/>
                <w:b/>
                <w:bCs/>
                <w:sz w:val="24"/>
                <w:u w:val="single"/>
              </w:rPr>
              <w:t xml:space="preserve">     </w:t>
            </w:r>
            <w:r>
              <w:rPr>
                <w:rFonts w:hint="eastAsia" w:ascii="仿宋" w:hAnsi="仿宋" w:eastAsia="仿宋" w:cs="仿宋"/>
                <w:b/>
                <w:bCs/>
                <w:sz w:val="24"/>
                <w:u w:val="single"/>
              </w:rPr>
              <w:t xml:space="preserve">                       </w:t>
            </w:r>
          </w:p>
          <w:p w14:paraId="4915C06D">
            <w:pPr>
              <w:spacing w:line="340" w:lineRule="exact"/>
              <w:jc w:val="right"/>
              <w:rPr>
                <w:u w:val="single"/>
              </w:rPr>
            </w:pPr>
            <w:r>
              <w:rPr>
                <w:rFonts w:hint="eastAsia" w:ascii="仿宋" w:hAnsi="仿宋" w:eastAsia="仿宋" w:cs="仿宋"/>
                <w:b/>
                <w:bCs/>
                <w:sz w:val="24"/>
              </w:rPr>
              <w:t>共印：</w:t>
            </w:r>
            <w:r>
              <w:rPr>
                <w:rFonts w:hint="eastAsia" w:ascii="仿宋" w:hAnsi="仿宋" w:eastAsia="仿宋" w:cs="仿宋"/>
                <w:b/>
                <w:bCs/>
                <w:sz w:val="24"/>
                <w:lang w:val="en-US" w:eastAsia="zh-CN"/>
              </w:rPr>
              <w:t>6</w:t>
            </w:r>
            <w:r>
              <w:rPr>
                <w:rFonts w:hint="eastAsia" w:ascii="仿宋" w:hAnsi="仿宋" w:eastAsia="仿宋" w:cs="仿宋"/>
                <w:b/>
                <w:bCs/>
                <w:sz w:val="24"/>
              </w:rPr>
              <w:t>份</w:t>
            </w:r>
          </w:p>
        </w:tc>
      </w:tr>
    </w:tbl>
    <w:p w14:paraId="7E2F0864">
      <w:pPr>
        <w:keepNext w:val="0"/>
        <w:keepLines w:val="0"/>
        <w:pageBreakBefore w:val="0"/>
        <w:widowControl w:val="0"/>
        <w:kinsoku/>
        <w:wordWrap/>
        <w:overflowPunct/>
        <w:topLinePunct w:val="0"/>
        <w:bidi w:val="0"/>
        <w:adjustRightInd w:val="0"/>
        <w:snapToGrid w:val="0"/>
        <w:spacing w:line="360" w:lineRule="auto"/>
        <w:ind w:right="480"/>
        <w:jc w:val="center"/>
        <w:textAlignment w:val="auto"/>
        <w:outlineLvl w:val="9"/>
        <w:rPr>
          <w:rFonts w:hint="eastAsia" w:ascii="黑体" w:hAnsi="黑体" w:eastAsia="黑体" w:cs="黑体"/>
          <w:b/>
          <w:bCs/>
          <w:sz w:val="24"/>
          <w:szCs w:val="24"/>
        </w:rPr>
      </w:pPr>
    </w:p>
    <w:sectPr>
      <w:headerReference r:id="rId3" w:type="default"/>
      <w:pgSz w:w="11906" w:h="16838"/>
      <w:pgMar w:top="1417" w:right="1417" w:bottom="1417"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姚体">
    <w:altName w:val="宋体"/>
    <w:panose1 w:val="02010601030101010101"/>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G Times">
    <w:altName w:val="Times New Roman"/>
    <w:panose1 w:val="02020603050405020304"/>
    <w:charset w:val="00"/>
    <w:family w:val="roman"/>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48A897">
    <w:pPr>
      <w:pStyle w:val="9"/>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FmMzk3YmVkM2RjNDJmOGU0NzYyNjk5MjFlNzJkOGQifQ=="/>
  </w:docVars>
  <w:rsids>
    <w:rsidRoot w:val="40356C71"/>
    <w:rsid w:val="000F2F54"/>
    <w:rsid w:val="00824069"/>
    <w:rsid w:val="00A40483"/>
    <w:rsid w:val="00EC7409"/>
    <w:rsid w:val="010D427B"/>
    <w:rsid w:val="0114759A"/>
    <w:rsid w:val="01891B53"/>
    <w:rsid w:val="019D55FE"/>
    <w:rsid w:val="0216715F"/>
    <w:rsid w:val="02A35163"/>
    <w:rsid w:val="02DA4AE1"/>
    <w:rsid w:val="033C49A3"/>
    <w:rsid w:val="03575C81"/>
    <w:rsid w:val="035937A7"/>
    <w:rsid w:val="03692931"/>
    <w:rsid w:val="039A71E5"/>
    <w:rsid w:val="039C3694"/>
    <w:rsid w:val="03A34A22"/>
    <w:rsid w:val="048D5452"/>
    <w:rsid w:val="04997BB3"/>
    <w:rsid w:val="04BF57BC"/>
    <w:rsid w:val="06345E06"/>
    <w:rsid w:val="06CC2408"/>
    <w:rsid w:val="06E421F4"/>
    <w:rsid w:val="06F061D0"/>
    <w:rsid w:val="073475B9"/>
    <w:rsid w:val="07574E2C"/>
    <w:rsid w:val="079B25E0"/>
    <w:rsid w:val="079F3753"/>
    <w:rsid w:val="07B74F40"/>
    <w:rsid w:val="07D456A6"/>
    <w:rsid w:val="082C148A"/>
    <w:rsid w:val="085A5FF7"/>
    <w:rsid w:val="087D1CE6"/>
    <w:rsid w:val="08DF0A8B"/>
    <w:rsid w:val="091C14FF"/>
    <w:rsid w:val="095742E5"/>
    <w:rsid w:val="098B21E0"/>
    <w:rsid w:val="098D41AA"/>
    <w:rsid w:val="09970B85"/>
    <w:rsid w:val="09CF47C3"/>
    <w:rsid w:val="09F75AC8"/>
    <w:rsid w:val="0A471058"/>
    <w:rsid w:val="0A7B04A7"/>
    <w:rsid w:val="0A9E5F43"/>
    <w:rsid w:val="0AA55524"/>
    <w:rsid w:val="0AD6392F"/>
    <w:rsid w:val="0B100BEF"/>
    <w:rsid w:val="0B116715"/>
    <w:rsid w:val="0B4D3BF1"/>
    <w:rsid w:val="0B584B4D"/>
    <w:rsid w:val="0B6727D9"/>
    <w:rsid w:val="0BBB1913"/>
    <w:rsid w:val="0BD60BC7"/>
    <w:rsid w:val="0BD93690"/>
    <w:rsid w:val="0BE17BDE"/>
    <w:rsid w:val="0C160487"/>
    <w:rsid w:val="0C48085D"/>
    <w:rsid w:val="0CD55319"/>
    <w:rsid w:val="0D9D32A1"/>
    <w:rsid w:val="0E252C04"/>
    <w:rsid w:val="0E527771"/>
    <w:rsid w:val="0E6A4ABA"/>
    <w:rsid w:val="0EA16A3E"/>
    <w:rsid w:val="0ED2035B"/>
    <w:rsid w:val="0F6C242C"/>
    <w:rsid w:val="0F76748F"/>
    <w:rsid w:val="0F96368D"/>
    <w:rsid w:val="109220A6"/>
    <w:rsid w:val="10EC1A37"/>
    <w:rsid w:val="11617715"/>
    <w:rsid w:val="11A1173D"/>
    <w:rsid w:val="12E0213E"/>
    <w:rsid w:val="13196AAF"/>
    <w:rsid w:val="13396872"/>
    <w:rsid w:val="13734411"/>
    <w:rsid w:val="137775DB"/>
    <w:rsid w:val="138406CF"/>
    <w:rsid w:val="13930AC5"/>
    <w:rsid w:val="13AD476A"/>
    <w:rsid w:val="13BF7656"/>
    <w:rsid w:val="14011A1D"/>
    <w:rsid w:val="14523455"/>
    <w:rsid w:val="1457788F"/>
    <w:rsid w:val="14726477"/>
    <w:rsid w:val="14740441"/>
    <w:rsid w:val="1475576A"/>
    <w:rsid w:val="150F0169"/>
    <w:rsid w:val="15233C15"/>
    <w:rsid w:val="15E74C42"/>
    <w:rsid w:val="15E909BB"/>
    <w:rsid w:val="16331C36"/>
    <w:rsid w:val="16526560"/>
    <w:rsid w:val="16732F5C"/>
    <w:rsid w:val="1688594B"/>
    <w:rsid w:val="16946B78"/>
    <w:rsid w:val="16C5307F"/>
    <w:rsid w:val="1737191C"/>
    <w:rsid w:val="173C2D6C"/>
    <w:rsid w:val="17760639"/>
    <w:rsid w:val="17F51899"/>
    <w:rsid w:val="185B5474"/>
    <w:rsid w:val="19193365"/>
    <w:rsid w:val="19407EA4"/>
    <w:rsid w:val="197B7B7C"/>
    <w:rsid w:val="198D048D"/>
    <w:rsid w:val="19A52363"/>
    <w:rsid w:val="19C01A32"/>
    <w:rsid w:val="19C91AB5"/>
    <w:rsid w:val="19D11E91"/>
    <w:rsid w:val="1A163D48"/>
    <w:rsid w:val="1A4E24CA"/>
    <w:rsid w:val="1B1B591E"/>
    <w:rsid w:val="1B505038"/>
    <w:rsid w:val="1B5E7755"/>
    <w:rsid w:val="1B7A1CC4"/>
    <w:rsid w:val="1B9118D8"/>
    <w:rsid w:val="1B99078D"/>
    <w:rsid w:val="1BE55780"/>
    <w:rsid w:val="1C161DDD"/>
    <w:rsid w:val="1C7F7983"/>
    <w:rsid w:val="1CDD28FB"/>
    <w:rsid w:val="1D7A50F0"/>
    <w:rsid w:val="1E92038D"/>
    <w:rsid w:val="1ED57D2E"/>
    <w:rsid w:val="1F9630D1"/>
    <w:rsid w:val="1FCB1DB1"/>
    <w:rsid w:val="20012DA5"/>
    <w:rsid w:val="202D5948"/>
    <w:rsid w:val="203E13AE"/>
    <w:rsid w:val="20605D1D"/>
    <w:rsid w:val="20670DFA"/>
    <w:rsid w:val="210112AE"/>
    <w:rsid w:val="21720A2C"/>
    <w:rsid w:val="21AB746C"/>
    <w:rsid w:val="21D249F9"/>
    <w:rsid w:val="2245341D"/>
    <w:rsid w:val="22BD7457"/>
    <w:rsid w:val="22F41F8D"/>
    <w:rsid w:val="23356FED"/>
    <w:rsid w:val="235B3481"/>
    <w:rsid w:val="23814FD1"/>
    <w:rsid w:val="23B51EDC"/>
    <w:rsid w:val="240D6B79"/>
    <w:rsid w:val="242A28CA"/>
    <w:rsid w:val="242B13B0"/>
    <w:rsid w:val="246758CC"/>
    <w:rsid w:val="249935AC"/>
    <w:rsid w:val="24BE74B6"/>
    <w:rsid w:val="24E231A5"/>
    <w:rsid w:val="24FB6014"/>
    <w:rsid w:val="253F4153"/>
    <w:rsid w:val="25935EA8"/>
    <w:rsid w:val="25A4045A"/>
    <w:rsid w:val="25A466AC"/>
    <w:rsid w:val="25F1000C"/>
    <w:rsid w:val="261750D0"/>
    <w:rsid w:val="26CF00D6"/>
    <w:rsid w:val="26DC51F0"/>
    <w:rsid w:val="26FE4C98"/>
    <w:rsid w:val="27117D71"/>
    <w:rsid w:val="272D447F"/>
    <w:rsid w:val="273B3040"/>
    <w:rsid w:val="273D46C2"/>
    <w:rsid w:val="27533BE7"/>
    <w:rsid w:val="27870033"/>
    <w:rsid w:val="286363AA"/>
    <w:rsid w:val="28DA4193"/>
    <w:rsid w:val="29424212"/>
    <w:rsid w:val="29EE439A"/>
    <w:rsid w:val="2A21651D"/>
    <w:rsid w:val="2A704183"/>
    <w:rsid w:val="2A954815"/>
    <w:rsid w:val="2AEB2D17"/>
    <w:rsid w:val="2B5B780D"/>
    <w:rsid w:val="2BAC1E16"/>
    <w:rsid w:val="2BEE735A"/>
    <w:rsid w:val="2C5E3210"/>
    <w:rsid w:val="2C6170A5"/>
    <w:rsid w:val="2C9E3E55"/>
    <w:rsid w:val="2CEB503C"/>
    <w:rsid w:val="2D40315E"/>
    <w:rsid w:val="2D46136D"/>
    <w:rsid w:val="2DC11C49"/>
    <w:rsid w:val="2DC306DD"/>
    <w:rsid w:val="2E7C6894"/>
    <w:rsid w:val="2EB060C2"/>
    <w:rsid w:val="2EC35B5D"/>
    <w:rsid w:val="2EF44200"/>
    <w:rsid w:val="2F1D6CDD"/>
    <w:rsid w:val="2F364A86"/>
    <w:rsid w:val="2FEA4F2D"/>
    <w:rsid w:val="2FFE4C0B"/>
    <w:rsid w:val="300125AB"/>
    <w:rsid w:val="30337BBE"/>
    <w:rsid w:val="304B4D04"/>
    <w:rsid w:val="319C4658"/>
    <w:rsid w:val="31AE25A2"/>
    <w:rsid w:val="320F30FF"/>
    <w:rsid w:val="3216448E"/>
    <w:rsid w:val="321B3C68"/>
    <w:rsid w:val="32326DEE"/>
    <w:rsid w:val="32755658"/>
    <w:rsid w:val="32A95302"/>
    <w:rsid w:val="32B76EE5"/>
    <w:rsid w:val="32F80037"/>
    <w:rsid w:val="33B06114"/>
    <w:rsid w:val="33D75E9F"/>
    <w:rsid w:val="344A48C2"/>
    <w:rsid w:val="34967B08"/>
    <w:rsid w:val="350358A2"/>
    <w:rsid w:val="353C06AF"/>
    <w:rsid w:val="355E0625"/>
    <w:rsid w:val="359C1030"/>
    <w:rsid w:val="35BD3BBA"/>
    <w:rsid w:val="35FF348B"/>
    <w:rsid w:val="36115AD9"/>
    <w:rsid w:val="36A24542"/>
    <w:rsid w:val="36DB5CA6"/>
    <w:rsid w:val="373F6235"/>
    <w:rsid w:val="38084156"/>
    <w:rsid w:val="38606463"/>
    <w:rsid w:val="38B93DC5"/>
    <w:rsid w:val="391451CF"/>
    <w:rsid w:val="395C1320"/>
    <w:rsid w:val="3971644D"/>
    <w:rsid w:val="397B0DBD"/>
    <w:rsid w:val="39B12CEE"/>
    <w:rsid w:val="39ED01CA"/>
    <w:rsid w:val="3A173DCA"/>
    <w:rsid w:val="3A190FBF"/>
    <w:rsid w:val="3A342026"/>
    <w:rsid w:val="3A3556CD"/>
    <w:rsid w:val="3AA60379"/>
    <w:rsid w:val="3AB900AC"/>
    <w:rsid w:val="3B563B4D"/>
    <w:rsid w:val="3B6B622F"/>
    <w:rsid w:val="3B787F67"/>
    <w:rsid w:val="3BA51D1C"/>
    <w:rsid w:val="3BCE7B87"/>
    <w:rsid w:val="3C9C7C85"/>
    <w:rsid w:val="3CEA6C43"/>
    <w:rsid w:val="3CEC6960"/>
    <w:rsid w:val="3CED6733"/>
    <w:rsid w:val="3D6764E5"/>
    <w:rsid w:val="3D6C7658"/>
    <w:rsid w:val="3D712EC0"/>
    <w:rsid w:val="3D9077EA"/>
    <w:rsid w:val="3DEB2C72"/>
    <w:rsid w:val="3DFA1107"/>
    <w:rsid w:val="3E3068D7"/>
    <w:rsid w:val="3EE53B65"/>
    <w:rsid w:val="3F24710B"/>
    <w:rsid w:val="3F3A282B"/>
    <w:rsid w:val="3F882E62"/>
    <w:rsid w:val="3F8C4EDD"/>
    <w:rsid w:val="3F8E7D59"/>
    <w:rsid w:val="3FB11C9A"/>
    <w:rsid w:val="3FD61700"/>
    <w:rsid w:val="40356C71"/>
    <w:rsid w:val="404843AC"/>
    <w:rsid w:val="405C1C05"/>
    <w:rsid w:val="40750F19"/>
    <w:rsid w:val="4084115C"/>
    <w:rsid w:val="40880C4C"/>
    <w:rsid w:val="410937F5"/>
    <w:rsid w:val="4114428E"/>
    <w:rsid w:val="411743E8"/>
    <w:rsid w:val="411E6EBB"/>
    <w:rsid w:val="41202C33"/>
    <w:rsid w:val="418C651A"/>
    <w:rsid w:val="41C51A2C"/>
    <w:rsid w:val="42097B6B"/>
    <w:rsid w:val="422E4979"/>
    <w:rsid w:val="423A41C8"/>
    <w:rsid w:val="42506D0A"/>
    <w:rsid w:val="42B42A37"/>
    <w:rsid w:val="42D261AF"/>
    <w:rsid w:val="430D3D62"/>
    <w:rsid w:val="432573FA"/>
    <w:rsid w:val="43E837B0"/>
    <w:rsid w:val="4419736C"/>
    <w:rsid w:val="44476729"/>
    <w:rsid w:val="45B0550A"/>
    <w:rsid w:val="464A32B7"/>
    <w:rsid w:val="46567F54"/>
    <w:rsid w:val="466A1F8C"/>
    <w:rsid w:val="46A2115D"/>
    <w:rsid w:val="46A61E2C"/>
    <w:rsid w:val="46BA1434"/>
    <w:rsid w:val="46D02A05"/>
    <w:rsid w:val="4764391D"/>
    <w:rsid w:val="47F53E8E"/>
    <w:rsid w:val="489932CB"/>
    <w:rsid w:val="48AC1250"/>
    <w:rsid w:val="48F30C2D"/>
    <w:rsid w:val="492359B6"/>
    <w:rsid w:val="4932281A"/>
    <w:rsid w:val="49555434"/>
    <w:rsid w:val="495A6EFE"/>
    <w:rsid w:val="49B77EAC"/>
    <w:rsid w:val="4A257A14"/>
    <w:rsid w:val="4A2C099F"/>
    <w:rsid w:val="4A3634C7"/>
    <w:rsid w:val="4A37205D"/>
    <w:rsid w:val="4A39176B"/>
    <w:rsid w:val="4A947850"/>
    <w:rsid w:val="4B133808"/>
    <w:rsid w:val="4B3774F7"/>
    <w:rsid w:val="4B3D24C1"/>
    <w:rsid w:val="4B62209A"/>
    <w:rsid w:val="4B8512CD"/>
    <w:rsid w:val="4BB23021"/>
    <w:rsid w:val="4BD21FAF"/>
    <w:rsid w:val="4C0373D9"/>
    <w:rsid w:val="4C043151"/>
    <w:rsid w:val="4C1B0BC7"/>
    <w:rsid w:val="4C2D60CB"/>
    <w:rsid w:val="4C6C1422"/>
    <w:rsid w:val="4CAE68AE"/>
    <w:rsid w:val="4CE865CF"/>
    <w:rsid w:val="4D987FF5"/>
    <w:rsid w:val="4DF711BF"/>
    <w:rsid w:val="4E232AEE"/>
    <w:rsid w:val="4E656BDA"/>
    <w:rsid w:val="4E830CA5"/>
    <w:rsid w:val="4F5368C9"/>
    <w:rsid w:val="502C5894"/>
    <w:rsid w:val="503264DF"/>
    <w:rsid w:val="50E33C7D"/>
    <w:rsid w:val="512A365A"/>
    <w:rsid w:val="51363DAD"/>
    <w:rsid w:val="516E3AAF"/>
    <w:rsid w:val="51840FBC"/>
    <w:rsid w:val="51D35A9F"/>
    <w:rsid w:val="51F44334"/>
    <w:rsid w:val="528A0854"/>
    <w:rsid w:val="52F42171"/>
    <w:rsid w:val="530230C2"/>
    <w:rsid w:val="532A5B93"/>
    <w:rsid w:val="53672943"/>
    <w:rsid w:val="537B219D"/>
    <w:rsid w:val="543F566E"/>
    <w:rsid w:val="54817A35"/>
    <w:rsid w:val="549C486F"/>
    <w:rsid w:val="54DC110F"/>
    <w:rsid w:val="552A3C28"/>
    <w:rsid w:val="55622C06"/>
    <w:rsid w:val="556A2277"/>
    <w:rsid w:val="55A97243"/>
    <w:rsid w:val="55AC325A"/>
    <w:rsid w:val="55DB3175"/>
    <w:rsid w:val="562C1C22"/>
    <w:rsid w:val="56903F5F"/>
    <w:rsid w:val="569D6CF2"/>
    <w:rsid w:val="56C244E7"/>
    <w:rsid w:val="57030BD5"/>
    <w:rsid w:val="5728063B"/>
    <w:rsid w:val="576A299D"/>
    <w:rsid w:val="579D3E59"/>
    <w:rsid w:val="57CE2F91"/>
    <w:rsid w:val="58501F65"/>
    <w:rsid w:val="58580AAD"/>
    <w:rsid w:val="587578B0"/>
    <w:rsid w:val="58AB6F02"/>
    <w:rsid w:val="58B813CF"/>
    <w:rsid w:val="58C223CA"/>
    <w:rsid w:val="590D37C4"/>
    <w:rsid w:val="591C7D2C"/>
    <w:rsid w:val="594068D2"/>
    <w:rsid w:val="59896096"/>
    <w:rsid w:val="59CA59DA"/>
    <w:rsid w:val="5A711422"/>
    <w:rsid w:val="5AE301F8"/>
    <w:rsid w:val="5B5714EF"/>
    <w:rsid w:val="5B7B3430"/>
    <w:rsid w:val="5B8A3673"/>
    <w:rsid w:val="5BDB5C7C"/>
    <w:rsid w:val="5C3762C5"/>
    <w:rsid w:val="5C3D2493"/>
    <w:rsid w:val="5CBD1826"/>
    <w:rsid w:val="5CDA5F34"/>
    <w:rsid w:val="5D3C6BEF"/>
    <w:rsid w:val="5DA17781"/>
    <w:rsid w:val="5DAC3168"/>
    <w:rsid w:val="5DBC0432"/>
    <w:rsid w:val="5DC015CE"/>
    <w:rsid w:val="5E4044BD"/>
    <w:rsid w:val="5E5166CA"/>
    <w:rsid w:val="5E5E2B95"/>
    <w:rsid w:val="5E9B5B97"/>
    <w:rsid w:val="5EB153BA"/>
    <w:rsid w:val="5ECB647C"/>
    <w:rsid w:val="5EE12E49"/>
    <w:rsid w:val="5F4A05AA"/>
    <w:rsid w:val="5F795ED8"/>
    <w:rsid w:val="5FD72BFF"/>
    <w:rsid w:val="5FFC08B7"/>
    <w:rsid w:val="600B43EB"/>
    <w:rsid w:val="60A93897"/>
    <w:rsid w:val="61DA69D6"/>
    <w:rsid w:val="628E01AF"/>
    <w:rsid w:val="630737FB"/>
    <w:rsid w:val="63352116"/>
    <w:rsid w:val="63493E13"/>
    <w:rsid w:val="636D45D4"/>
    <w:rsid w:val="63AF0128"/>
    <w:rsid w:val="641206A9"/>
    <w:rsid w:val="64B45555"/>
    <w:rsid w:val="655A40B6"/>
    <w:rsid w:val="65AE37C4"/>
    <w:rsid w:val="66212E26"/>
    <w:rsid w:val="66742F55"/>
    <w:rsid w:val="66862C89"/>
    <w:rsid w:val="66C43AC4"/>
    <w:rsid w:val="674548F2"/>
    <w:rsid w:val="67703FF7"/>
    <w:rsid w:val="678438E3"/>
    <w:rsid w:val="67DA328C"/>
    <w:rsid w:val="67F3434E"/>
    <w:rsid w:val="680E2769"/>
    <w:rsid w:val="68352BB8"/>
    <w:rsid w:val="684466F9"/>
    <w:rsid w:val="68F62348"/>
    <w:rsid w:val="699C5248"/>
    <w:rsid w:val="6A304BAD"/>
    <w:rsid w:val="6A437567"/>
    <w:rsid w:val="6A8120E5"/>
    <w:rsid w:val="6AE3003A"/>
    <w:rsid w:val="6B112CBA"/>
    <w:rsid w:val="6BC71D79"/>
    <w:rsid w:val="6C661D46"/>
    <w:rsid w:val="6C8A72E9"/>
    <w:rsid w:val="6CB22A29"/>
    <w:rsid w:val="6CB411BD"/>
    <w:rsid w:val="6CBA368C"/>
    <w:rsid w:val="6D0B5C0A"/>
    <w:rsid w:val="6D267D10"/>
    <w:rsid w:val="6D6C0E2A"/>
    <w:rsid w:val="6DB642C9"/>
    <w:rsid w:val="6DF130DE"/>
    <w:rsid w:val="6EF70BC7"/>
    <w:rsid w:val="6EFF6735"/>
    <w:rsid w:val="6F086931"/>
    <w:rsid w:val="6F255735"/>
    <w:rsid w:val="6F51652A"/>
    <w:rsid w:val="6F773AB6"/>
    <w:rsid w:val="6F79782E"/>
    <w:rsid w:val="6FDA4F0B"/>
    <w:rsid w:val="6FE32EFA"/>
    <w:rsid w:val="70057FB2"/>
    <w:rsid w:val="709731B1"/>
    <w:rsid w:val="70B12FF8"/>
    <w:rsid w:val="70DD7C0B"/>
    <w:rsid w:val="70DF5DB7"/>
    <w:rsid w:val="70E92792"/>
    <w:rsid w:val="70F33611"/>
    <w:rsid w:val="71233EF6"/>
    <w:rsid w:val="715776FB"/>
    <w:rsid w:val="71704C61"/>
    <w:rsid w:val="71E01DE7"/>
    <w:rsid w:val="72323CC5"/>
    <w:rsid w:val="72343EE1"/>
    <w:rsid w:val="724A3704"/>
    <w:rsid w:val="72563E57"/>
    <w:rsid w:val="72B62B48"/>
    <w:rsid w:val="730833A3"/>
    <w:rsid w:val="731A4E85"/>
    <w:rsid w:val="739B49DC"/>
    <w:rsid w:val="73A1563F"/>
    <w:rsid w:val="73AA1ADB"/>
    <w:rsid w:val="73BE7F06"/>
    <w:rsid w:val="73E6120B"/>
    <w:rsid w:val="740718AD"/>
    <w:rsid w:val="745B7503"/>
    <w:rsid w:val="746A3BEA"/>
    <w:rsid w:val="752E4C17"/>
    <w:rsid w:val="75394660"/>
    <w:rsid w:val="758E72D7"/>
    <w:rsid w:val="761F27B3"/>
    <w:rsid w:val="76911902"/>
    <w:rsid w:val="76A719B3"/>
    <w:rsid w:val="76D17F50"/>
    <w:rsid w:val="76F123A0"/>
    <w:rsid w:val="77784870"/>
    <w:rsid w:val="789631FF"/>
    <w:rsid w:val="78BC0D24"/>
    <w:rsid w:val="790A6422"/>
    <w:rsid w:val="794342FC"/>
    <w:rsid w:val="794B5DD6"/>
    <w:rsid w:val="79766B8D"/>
    <w:rsid w:val="799D058F"/>
    <w:rsid w:val="7A747570"/>
    <w:rsid w:val="7B9E6C31"/>
    <w:rsid w:val="7BFC5A6F"/>
    <w:rsid w:val="7C501917"/>
    <w:rsid w:val="7C740ADB"/>
    <w:rsid w:val="7C843678"/>
    <w:rsid w:val="7CF74D81"/>
    <w:rsid w:val="7DBE38A6"/>
    <w:rsid w:val="7E4A094D"/>
    <w:rsid w:val="7EF649F8"/>
    <w:rsid w:val="7F6E153A"/>
    <w:rsid w:val="7F9A57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0"/>
    <w:pPr>
      <w:keepNext/>
      <w:keepLines/>
      <w:spacing w:before="340" w:beforeLines="0" w:beforeAutospacing="0" w:after="330" w:afterLines="0" w:afterAutospacing="0" w:line="576" w:lineRule="auto"/>
      <w:outlineLvl w:val="0"/>
    </w:pPr>
    <w:rPr>
      <w:rFonts w:ascii="Times New Roman" w:hAnsi="Times New Roman" w:eastAsia="黑体"/>
      <w:b/>
      <w:kern w:val="44"/>
      <w:sz w:val="32"/>
      <w:szCs w:val="22"/>
    </w:rPr>
  </w:style>
  <w:style w:type="paragraph" w:styleId="3">
    <w:name w:val="heading 2"/>
    <w:basedOn w:val="1"/>
    <w:next w:val="1"/>
    <w:autoRedefine/>
    <w:semiHidden/>
    <w:unhideWhenUsed/>
    <w:qFormat/>
    <w:uiPriority w:val="0"/>
    <w:pPr>
      <w:keepNext/>
      <w:keepLines/>
      <w:spacing w:before="260" w:beforeLines="0" w:beforeAutospacing="0" w:after="260" w:afterLines="0" w:afterAutospacing="0" w:line="413" w:lineRule="auto"/>
      <w:jc w:val="left"/>
      <w:outlineLvl w:val="1"/>
    </w:pPr>
    <w:rPr>
      <w:rFonts w:ascii="Arial" w:hAnsi="Arial" w:eastAsia="黑体" w:cs="Times New Roman"/>
      <w:b/>
      <w:sz w:val="24"/>
      <w:szCs w:val="22"/>
    </w:rPr>
  </w:style>
  <w:style w:type="paragraph" w:styleId="4">
    <w:name w:val="heading 3"/>
    <w:basedOn w:val="1"/>
    <w:next w:val="1"/>
    <w:autoRedefine/>
    <w:semiHidden/>
    <w:unhideWhenUsed/>
    <w:qFormat/>
    <w:uiPriority w:val="0"/>
    <w:pPr>
      <w:keepNext/>
      <w:keepLines/>
      <w:spacing w:beforeLines="0" w:beforeAutospacing="0" w:afterLines="0" w:afterAutospacing="0" w:line="360" w:lineRule="auto"/>
      <w:ind w:leftChars="200"/>
      <w:outlineLvl w:val="2"/>
    </w:pPr>
    <w:rPr>
      <w:rFonts w:ascii="Times New Roman" w:hAnsi="Times New Roman" w:eastAsia="黑体"/>
      <w:b/>
      <w:sz w:val="24"/>
      <w:szCs w:val="22"/>
    </w:rPr>
  </w:style>
  <w:style w:type="character" w:default="1" w:styleId="15">
    <w:name w:val="Default Paragraph Font"/>
    <w:autoRedefine/>
    <w:semiHidden/>
    <w:qFormat/>
    <w:uiPriority w:val="0"/>
  </w:style>
  <w:style w:type="table" w:default="1" w:styleId="14">
    <w:name w:val="Normal Table"/>
    <w:autoRedefin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0"/>
    <w:pPr>
      <w:jc w:val="center"/>
    </w:pPr>
    <w:rPr>
      <w:sz w:val="30"/>
      <w:szCs w:val="20"/>
    </w:rPr>
  </w:style>
  <w:style w:type="paragraph" w:styleId="7">
    <w:name w:val="Body Text Indent"/>
    <w:basedOn w:val="1"/>
    <w:autoRedefine/>
    <w:qFormat/>
    <w:uiPriority w:val="0"/>
    <w:pPr>
      <w:spacing w:after="120"/>
      <w:ind w:left="420" w:leftChars="200"/>
    </w:pPr>
  </w:style>
  <w:style w:type="paragraph" w:styleId="8">
    <w:name w:val="Body Text Indent 2"/>
    <w:basedOn w:val="1"/>
    <w:autoRedefine/>
    <w:qFormat/>
    <w:uiPriority w:val="0"/>
    <w:pPr>
      <w:spacing w:line="500" w:lineRule="exact"/>
      <w:ind w:left="1" w:firstLine="406" w:firstLineChars="169"/>
      <w:jc w:val="left"/>
    </w:pPr>
    <w:rPr>
      <w:rFonts w:ascii="宋体" w:hAnsi="宋体"/>
      <w:sz w:val="24"/>
    </w:rPr>
  </w:style>
  <w:style w:type="paragraph" w:styleId="9">
    <w:name w:val="header"/>
    <w:basedOn w:val="1"/>
    <w:autoRedefine/>
    <w:qFormat/>
    <w:uiPriority w:val="0"/>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10">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1">
    <w:name w:val="Title"/>
    <w:basedOn w:val="1"/>
    <w:next w:val="1"/>
    <w:qFormat/>
    <w:uiPriority w:val="0"/>
    <w:pPr>
      <w:spacing w:before="240" w:after="60"/>
      <w:jc w:val="center"/>
      <w:outlineLvl w:val="0"/>
    </w:pPr>
    <w:rPr>
      <w:rFonts w:ascii="Cambria" w:hAnsi="Cambria" w:eastAsia="Times New Roman"/>
      <w:b/>
      <w:bCs/>
      <w:sz w:val="32"/>
      <w:szCs w:val="32"/>
    </w:rPr>
  </w:style>
  <w:style w:type="paragraph" w:styleId="12">
    <w:name w:val="Body Text First Indent"/>
    <w:basedOn w:val="6"/>
    <w:qFormat/>
    <w:uiPriority w:val="0"/>
    <w:pPr>
      <w:spacing w:line="440" w:lineRule="exact"/>
      <w:ind w:firstLine="420" w:firstLineChars="100"/>
    </w:pPr>
  </w:style>
  <w:style w:type="paragraph" w:styleId="13">
    <w:name w:val="Body Text First Indent 2"/>
    <w:basedOn w:val="7"/>
    <w:qFormat/>
    <w:uiPriority w:val="0"/>
    <w:pPr>
      <w:autoSpaceDE w:val="0"/>
      <w:autoSpaceDN w:val="0"/>
      <w:adjustRightInd w:val="0"/>
      <w:spacing w:after="120"/>
      <w:ind w:left="420" w:leftChars="200" w:firstLine="420" w:firstLineChars="200"/>
      <w:jc w:val="left"/>
      <w:textAlignment w:val="baseline"/>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1698</Words>
  <Characters>1965</Characters>
  <Lines>0</Lines>
  <Paragraphs>0</Paragraphs>
  <TotalTime>32</TotalTime>
  <ScaleCrop>false</ScaleCrop>
  <LinksUpToDate>false</LinksUpToDate>
  <CharactersWithSpaces>2449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2019-12-26T06:39:00Z</dcterms:created>
  <dc:creator>qijiaweng</dc:creator>
  <cp:lastModifiedBy>无处安放的青春</cp:lastModifiedBy>
  <cp:lastPrinted>2024-03-26T07:34:00Z</cp:lastPrinted>
  <dcterms:modified xsi:type="dcterms:W3CDTF">2026-06-10T08:31:03Z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E8B4834DCA414F15AD3C42999BA7B9F8_13</vt:lpwstr>
  </property>
  <property fmtid="{D5CDD505-2E9C-101B-9397-08002B2CF9AE}" pid="4" name="KSOTemplateDocerSaveRecord">
    <vt:lpwstr>eyJoZGlkIjoiYmVlZjk2NDYwMTEyNjk3OGFjMTA2NDUyMjBjMGM1MWUiLCJ1c2VySWQiOiI0MjU1NzYyMzMifQ==</vt:lpwstr>
  </property>
</Properties>
</file>